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D066" w14:textId="77777777" w:rsidR="003C3743" w:rsidRDefault="003C3743" w:rsidP="003C3743">
      <w:pPr>
        <w:pStyle w:val="Heading1"/>
        <w:rPr>
          <w:color w:val="0070C0"/>
        </w:rPr>
      </w:pPr>
      <w:r w:rsidRPr="668D563A">
        <w:rPr>
          <w:color w:val="0070C0"/>
        </w:rPr>
        <w:t>What are rehabilitation Closure Criteria?</w:t>
      </w:r>
    </w:p>
    <w:p w14:paraId="030FA8A2" w14:textId="7A117FE8" w:rsidR="003C3743" w:rsidRDefault="003C3743" w:rsidP="003C3743">
      <w:pPr>
        <w:rPr>
          <w:rFonts w:ascii="Arial" w:hAnsi="Arial" w:cs="Arial"/>
          <w:lang w:eastAsia="en-GB"/>
        </w:rPr>
      </w:pPr>
      <w:r w:rsidRPr="10EA72A9">
        <w:rPr>
          <w:rFonts w:ascii="Arial" w:hAnsi="Arial" w:cs="Arial"/>
          <w:lang w:eastAsia="en-GB"/>
        </w:rPr>
        <w:t>At the end of mine closure activities, before a declared mine licen</w:t>
      </w:r>
      <w:r w:rsidR="7669FF15" w:rsidRPr="10EA72A9">
        <w:rPr>
          <w:rFonts w:ascii="Arial" w:hAnsi="Arial" w:cs="Arial"/>
          <w:lang w:eastAsia="en-GB"/>
        </w:rPr>
        <w:t>c</w:t>
      </w:r>
      <w:r w:rsidRPr="10EA72A9">
        <w:rPr>
          <w:rFonts w:ascii="Arial" w:hAnsi="Arial" w:cs="Arial"/>
          <w:lang w:eastAsia="en-GB"/>
        </w:rPr>
        <w:t>e can be surrendered, declared mine licensees are required to meet approved closure criteria. The MLRA defines these as ‘</w:t>
      </w:r>
      <w:r w:rsidRPr="10EA72A9">
        <w:rPr>
          <w:rFonts w:ascii="Arial" w:hAnsi="Arial" w:cs="Arial"/>
          <w:i/>
          <w:iCs/>
          <w:lang w:eastAsia="en-GB"/>
        </w:rPr>
        <w:t>site specific measures or metrics developed during mine rehabilitation planning against which successful mine closure is determined</w:t>
      </w:r>
      <w:r w:rsidRPr="10EA72A9">
        <w:rPr>
          <w:rFonts w:ascii="Arial" w:hAnsi="Arial" w:cs="Arial"/>
          <w:lang w:eastAsia="en-GB"/>
        </w:rPr>
        <w:t>’.</w:t>
      </w:r>
    </w:p>
    <w:p w14:paraId="0AC4FE96" w14:textId="77777777" w:rsidR="003C3743" w:rsidRPr="002D233D" w:rsidRDefault="003C3743" w:rsidP="003C3743">
      <w:pPr>
        <w:pStyle w:val="Heading2"/>
        <w:rPr>
          <w:color w:val="0070C0"/>
          <w:sz w:val="24"/>
          <w:szCs w:val="24"/>
        </w:rPr>
      </w:pPr>
      <w:r w:rsidRPr="002D233D">
        <w:rPr>
          <w:color w:val="0070C0"/>
          <w:sz w:val="24"/>
          <w:szCs w:val="24"/>
        </w:rPr>
        <w:t>Why do we need them?</w:t>
      </w:r>
    </w:p>
    <w:p w14:paraId="426768A8" w14:textId="4C4B56FB" w:rsidR="003C3743" w:rsidRDefault="003C3743" w:rsidP="003C3743">
      <w:pPr>
        <w:rPr>
          <w:rFonts w:ascii="Arial" w:hAnsi="Arial" w:cs="Arial"/>
          <w:lang w:eastAsia="en-GB"/>
        </w:rPr>
      </w:pPr>
      <w:r w:rsidRPr="668D563A">
        <w:rPr>
          <w:rFonts w:ascii="Arial" w:hAnsi="Arial" w:cs="Arial"/>
          <w:lang w:eastAsia="en-GB"/>
        </w:rPr>
        <w:t xml:space="preserve">Evaluation against criteria is employed internationally by governments and the mining industry, to ensure accountability and demonstrate successful </w:t>
      </w:r>
      <w:bookmarkStart w:id="0" w:name="_Int_tAEZMnXO"/>
      <w:proofErr w:type="gramStart"/>
      <w:r w:rsidRPr="668D563A">
        <w:rPr>
          <w:rFonts w:ascii="Arial" w:hAnsi="Arial" w:cs="Arial"/>
          <w:lang w:eastAsia="en-GB"/>
        </w:rPr>
        <w:t>mine</w:t>
      </w:r>
      <w:bookmarkEnd w:id="0"/>
      <w:proofErr w:type="gramEnd"/>
      <w:r w:rsidRPr="668D563A">
        <w:rPr>
          <w:rFonts w:ascii="Arial" w:hAnsi="Arial" w:cs="Arial"/>
          <w:lang w:eastAsia="en-GB"/>
        </w:rPr>
        <w:t xml:space="preserve"> rehabilitation. </w:t>
      </w:r>
    </w:p>
    <w:p w14:paraId="1426CD4A" w14:textId="2AE13C68" w:rsidR="003C3743" w:rsidRPr="000A3AD2" w:rsidRDefault="003C3743" w:rsidP="003C3743">
      <w:pPr>
        <w:rPr>
          <w:rFonts w:ascii="Arial" w:hAnsi="Arial" w:cs="Arial"/>
          <w:lang w:eastAsia="en-GB"/>
        </w:rPr>
      </w:pPr>
      <w:r w:rsidRPr="10EA72A9">
        <w:rPr>
          <w:rFonts w:ascii="Arial" w:hAnsi="Arial" w:cs="Arial"/>
          <w:lang w:eastAsia="en-GB"/>
        </w:rPr>
        <w:t xml:space="preserve">Developing and refining criteria allows for licensees to undertake detailed planning with a targeted goal in mind and helps provide consistency for rehabilitation over timeframes that are expected to last several decades. </w:t>
      </w:r>
    </w:p>
    <w:p w14:paraId="2F9E5964" w14:textId="6D169E79" w:rsidR="003C3743" w:rsidRDefault="003C3743" w:rsidP="003C3743">
      <w:pPr>
        <w:rPr>
          <w:rFonts w:ascii="Arial" w:hAnsi="Arial" w:cs="Arial"/>
          <w:lang w:eastAsia="en-GB"/>
        </w:rPr>
      </w:pPr>
      <w:r w:rsidRPr="10EA72A9">
        <w:rPr>
          <w:rFonts w:ascii="Arial" w:hAnsi="Arial" w:cs="Arial"/>
          <w:lang w:eastAsia="en-GB"/>
        </w:rPr>
        <w:t xml:space="preserve">Mine licensees can </w:t>
      </w:r>
      <w:r w:rsidR="600965CC" w:rsidRPr="10EA72A9">
        <w:rPr>
          <w:rFonts w:ascii="Arial" w:hAnsi="Arial" w:cs="Arial"/>
          <w:lang w:eastAsia="en-GB"/>
        </w:rPr>
        <w:t xml:space="preserve">only </w:t>
      </w:r>
      <w:r w:rsidRPr="10EA72A9">
        <w:rPr>
          <w:rFonts w:ascii="Arial" w:hAnsi="Arial" w:cs="Arial"/>
          <w:lang w:eastAsia="en-GB"/>
        </w:rPr>
        <w:t>apply to surrender their mining licen</w:t>
      </w:r>
      <w:r w:rsidR="664BCCF3" w:rsidRPr="10EA72A9">
        <w:rPr>
          <w:rFonts w:ascii="Arial" w:hAnsi="Arial" w:cs="Arial"/>
          <w:lang w:eastAsia="en-GB"/>
        </w:rPr>
        <w:t>c</w:t>
      </w:r>
      <w:r w:rsidRPr="10EA72A9">
        <w:rPr>
          <w:rFonts w:ascii="Arial" w:hAnsi="Arial" w:cs="Arial"/>
          <w:lang w:eastAsia="en-GB"/>
        </w:rPr>
        <w:t>e once criteria have been met</w:t>
      </w:r>
      <w:r w:rsidR="2ED6727B" w:rsidRPr="10EA72A9">
        <w:rPr>
          <w:rFonts w:ascii="Arial" w:hAnsi="Arial" w:cs="Arial"/>
          <w:lang w:eastAsia="en-GB"/>
        </w:rPr>
        <w:t>. This helps make sure the site is safe, stable and ready for future</w:t>
      </w:r>
      <w:r w:rsidR="1B6FA603" w:rsidRPr="10EA72A9">
        <w:rPr>
          <w:rFonts w:ascii="Arial" w:hAnsi="Arial" w:cs="Arial"/>
          <w:lang w:eastAsia="en-GB"/>
        </w:rPr>
        <w:t xml:space="preserve"> </w:t>
      </w:r>
      <w:r w:rsidRPr="10EA72A9">
        <w:rPr>
          <w:rFonts w:ascii="Arial" w:hAnsi="Arial" w:cs="Arial"/>
          <w:lang w:eastAsia="en-GB"/>
        </w:rPr>
        <w:t xml:space="preserve">land uses. </w:t>
      </w:r>
    </w:p>
    <w:p w14:paraId="68D80C12" w14:textId="77777777" w:rsidR="003C3743" w:rsidRPr="002D233D" w:rsidRDefault="003C3743" w:rsidP="003C3743">
      <w:pPr>
        <w:pStyle w:val="Heading2"/>
        <w:rPr>
          <w:color w:val="0070C0"/>
          <w:sz w:val="24"/>
          <w:szCs w:val="24"/>
        </w:rPr>
      </w:pPr>
      <w:r w:rsidRPr="002D233D">
        <w:rPr>
          <w:color w:val="0070C0"/>
          <w:sz w:val="24"/>
          <w:szCs w:val="24"/>
        </w:rPr>
        <w:t>How does it all fit together?</w:t>
      </w:r>
    </w:p>
    <w:p w14:paraId="4353F7F7" w14:textId="29AEF558" w:rsidR="003C3743" w:rsidRDefault="003C3743" w:rsidP="003C3743">
      <w:pPr>
        <w:pStyle w:val="CommentText"/>
        <w:ind w:right="-541"/>
        <w:rPr>
          <w:color w:val="000000" w:themeColor="text1"/>
          <w:sz w:val="22"/>
          <w:szCs w:val="22"/>
        </w:rPr>
      </w:pPr>
      <w:r w:rsidRPr="10EA72A9">
        <w:rPr>
          <w:color w:val="000000" w:themeColor="text1"/>
          <w:sz w:val="22"/>
          <w:szCs w:val="22"/>
        </w:rPr>
        <w:t xml:space="preserve">Closure criteria form a vital part of closure planning and are a detailed element of the planning framework that starts with the closure vision (Figure 1). </w:t>
      </w:r>
      <w:r w:rsidR="00D78D64" w:rsidRPr="10EA72A9">
        <w:rPr>
          <w:color w:val="000000" w:themeColor="text1"/>
          <w:sz w:val="22"/>
          <w:szCs w:val="22"/>
        </w:rPr>
        <w:t>From there, p</w:t>
      </w:r>
      <w:r w:rsidRPr="10EA72A9">
        <w:rPr>
          <w:color w:val="000000" w:themeColor="text1"/>
          <w:sz w:val="22"/>
          <w:szCs w:val="22"/>
        </w:rPr>
        <w:t>rinciples and objectives add more detail</w:t>
      </w:r>
      <w:r w:rsidR="037E935C" w:rsidRPr="10EA72A9">
        <w:rPr>
          <w:color w:val="000000" w:themeColor="text1"/>
          <w:sz w:val="22"/>
          <w:szCs w:val="22"/>
        </w:rPr>
        <w:t>. This process helps create clear,</w:t>
      </w:r>
      <w:r w:rsidR="4344EDA7" w:rsidRPr="10EA72A9">
        <w:rPr>
          <w:color w:val="000000" w:themeColor="text1"/>
          <w:sz w:val="22"/>
          <w:szCs w:val="22"/>
        </w:rPr>
        <w:t xml:space="preserve"> </w:t>
      </w:r>
      <w:r w:rsidRPr="10EA72A9">
        <w:rPr>
          <w:color w:val="000000" w:themeColor="text1"/>
          <w:sz w:val="22"/>
          <w:szCs w:val="22"/>
        </w:rPr>
        <w:t xml:space="preserve">site-specific </w:t>
      </w:r>
      <w:r w:rsidR="001F000D" w:rsidRPr="10EA72A9">
        <w:rPr>
          <w:color w:val="000000" w:themeColor="text1"/>
          <w:sz w:val="22"/>
          <w:szCs w:val="22"/>
        </w:rPr>
        <w:t>targets</w:t>
      </w:r>
      <w:r w:rsidR="13D65EDD" w:rsidRPr="10EA72A9">
        <w:rPr>
          <w:color w:val="000000" w:themeColor="text1"/>
          <w:sz w:val="22"/>
          <w:szCs w:val="22"/>
        </w:rPr>
        <w:t>.</w:t>
      </w:r>
      <w:r w:rsidRPr="10EA72A9">
        <w:rPr>
          <w:color w:val="000000" w:themeColor="text1"/>
          <w:sz w:val="22"/>
          <w:szCs w:val="22"/>
        </w:rPr>
        <w:t xml:space="preserve"> C</w:t>
      </w:r>
      <w:r w:rsidR="3AD68F5B" w:rsidRPr="10EA72A9">
        <w:rPr>
          <w:color w:val="000000" w:themeColor="text1"/>
          <w:sz w:val="22"/>
          <w:szCs w:val="22"/>
        </w:rPr>
        <w:t>losure c</w:t>
      </w:r>
      <w:r w:rsidRPr="10EA72A9">
        <w:rPr>
          <w:color w:val="000000" w:themeColor="text1"/>
          <w:sz w:val="22"/>
          <w:szCs w:val="22"/>
        </w:rPr>
        <w:t xml:space="preserve">riteria are the final </w:t>
      </w:r>
      <w:r w:rsidR="159A992E" w:rsidRPr="10EA72A9">
        <w:rPr>
          <w:color w:val="000000" w:themeColor="text1"/>
          <w:sz w:val="22"/>
          <w:szCs w:val="22"/>
        </w:rPr>
        <w:t xml:space="preserve">step. They are the exact </w:t>
      </w:r>
      <w:r w:rsidRPr="10EA72A9">
        <w:rPr>
          <w:color w:val="000000" w:themeColor="text1"/>
          <w:sz w:val="22"/>
          <w:szCs w:val="22"/>
        </w:rPr>
        <w:t xml:space="preserve">measures </w:t>
      </w:r>
      <w:r w:rsidR="6D087112" w:rsidRPr="10EA72A9">
        <w:rPr>
          <w:color w:val="000000" w:themeColor="text1"/>
          <w:sz w:val="22"/>
          <w:szCs w:val="22"/>
        </w:rPr>
        <w:t xml:space="preserve">used to show </w:t>
      </w:r>
      <w:r w:rsidRPr="10EA72A9">
        <w:rPr>
          <w:color w:val="000000" w:themeColor="text1"/>
          <w:sz w:val="22"/>
          <w:szCs w:val="22"/>
        </w:rPr>
        <w:t xml:space="preserve">that the </w:t>
      </w:r>
      <w:r w:rsidR="001F000D" w:rsidRPr="10EA72A9">
        <w:rPr>
          <w:color w:val="000000" w:themeColor="text1"/>
          <w:sz w:val="22"/>
          <w:szCs w:val="22"/>
        </w:rPr>
        <w:t>target</w:t>
      </w:r>
      <w:r w:rsidR="00DB52E9" w:rsidRPr="10EA72A9">
        <w:rPr>
          <w:color w:val="000000" w:themeColor="text1"/>
          <w:sz w:val="22"/>
          <w:szCs w:val="22"/>
        </w:rPr>
        <w:t>s</w:t>
      </w:r>
      <w:r w:rsidR="001F000D" w:rsidRPr="10EA72A9">
        <w:rPr>
          <w:color w:val="000000" w:themeColor="text1"/>
          <w:sz w:val="22"/>
          <w:szCs w:val="22"/>
        </w:rPr>
        <w:t xml:space="preserve"> </w:t>
      </w:r>
      <w:r w:rsidRPr="10EA72A9">
        <w:rPr>
          <w:color w:val="000000" w:themeColor="text1"/>
          <w:sz w:val="22"/>
          <w:szCs w:val="22"/>
        </w:rPr>
        <w:t xml:space="preserve">have been met and </w:t>
      </w:r>
      <w:r w:rsidR="405862E0" w:rsidRPr="10EA72A9">
        <w:rPr>
          <w:color w:val="000000" w:themeColor="text1"/>
          <w:sz w:val="22"/>
          <w:szCs w:val="22"/>
        </w:rPr>
        <w:t xml:space="preserve">that </w:t>
      </w:r>
      <w:r w:rsidRPr="10EA72A9">
        <w:rPr>
          <w:color w:val="000000" w:themeColor="text1"/>
          <w:sz w:val="22"/>
          <w:szCs w:val="22"/>
        </w:rPr>
        <w:t xml:space="preserve">the </w:t>
      </w:r>
      <w:r w:rsidR="10634E04" w:rsidRPr="10EA72A9">
        <w:rPr>
          <w:color w:val="000000" w:themeColor="text1"/>
          <w:sz w:val="22"/>
          <w:szCs w:val="22"/>
        </w:rPr>
        <w:t xml:space="preserve">closure </w:t>
      </w:r>
      <w:r w:rsidRPr="10EA72A9">
        <w:rPr>
          <w:color w:val="000000" w:themeColor="text1"/>
          <w:sz w:val="22"/>
          <w:szCs w:val="22"/>
        </w:rPr>
        <w:t xml:space="preserve">vision </w:t>
      </w:r>
      <w:r w:rsidR="204516A1" w:rsidRPr="10EA72A9">
        <w:rPr>
          <w:color w:val="000000" w:themeColor="text1"/>
          <w:sz w:val="22"/>
          <w:szCs w:val="22"/>
        </w:rPr>
        <w:t>has been achieved</w:t>
      </w:r>
      <w:r w:rsidRPr="10EA72A9">
        <w:rPr>
          <w:color w:val="000000" w:themeColor="text1"/>
          <w:sz w:val="22"/>
          <w:szCs w:val="22"/>
        </w:rPr>
        <w:t>. The ICMM Integrated Mine Closure, Good Practice Guideline 2</w:t>
      </w:r>
      <w:r w:rsidRPr="10EA72A9">
        <w:rPr>
          <w:color w:val="000000" w:themeColor="text1"/>
          <w:sz w:val="22"/>
          <w:szCs w:val="22"/>
          <w:vertAlign w:val="superscript"/>
        </w:rPr>
        <w:t>nd</w:t>
      </w:r>
      <w:r w:rsidRPr="10EA72A9">
        <w:rPr>
          <w:color w:val="000000" w:themeColor="text1"/>
          <w:sz w:val="22"/>
          <w:szCs w:val="22"/>
        </w:rPr>
        <w:t xml:space="preserve"> Edition </w:t>
      </w:r>
      <w:r w:rsidR="7BA46A63" w:rsidRPr="10EA72A9">
        <w:rPr>
          <w:color w:val="000000" w:themeColor="text1"/>
          <w:sz w:val="22"/>
          <w:szCs w:val="22"/>
        </w:rPr>
        <w:t>gives more</w:t>
      </w:r>
      <w:r w:rsidRPr="10EA72A9">
        <w:rPr>
          <w:color w:val="000000" w:themeColor="text1"/>
          <w:sz w:val="22"/>
          <w:szCs w:val="22"/>
        </w:rPr>
        <w:t xml:space="preserve"> information </w:t>
      </w:r>
      <w:r w:rsidR="60E5104C" w:rsidRPr="10EA72A9">
        <w:rPr>
          <w:color w:val="000000" w:themeColor="text1"/>
          <w:sz w:val="22"/>
          <w:szCs w:val="22"/>
        </w:rPr>
        <w:t>about this</w:t>
      </w:r>
      <w:r w:rsidR="41EEB76A" w:rsidRPr="10EA72A9">
        <w:rPr>
          <w:color w:val="000000" w:themeColor="text1"/>
          <w:sz w:val="22"/>
          <w:szCs w:val="22"/>
        </w:rPr>
        <w:t xml:space="preserve"> </w:t>
      </w:r>
      <w:r w:rsidRPr="10EA72A9">
        <w:rPr>
          <w:color w:val="000000" w:themeColor="text1"/>
          <w:sz w:val="22"/>
          <w:szCs w:val="22"/>
        </w:rPr>
        <w:t>planning framework.</w:t>
      </w:r>
    </w:p>
    <w:p w14:paraId="075C8804" w14:textId="2DEEF52E" w:rsidR="003C3743" w:rsidRDefault="000B6585" w:rsidP="003C3743">
      <w:pPr>
        <w:pStyle w:val="CommentText"/>
        <w:keepNext/>
        <w:ind w:right="-541"/>
        <w:jc w:val="center"/>
      </w:pPr>
      <w:r>
        <w:rPr>
          <w:noProof/>
          <w14:ligatures w14:val="standardContextual"/>
        </w:rPr>
        <w:drawing>
          <wp:inline distT="0" distB="0" distL="0" distR="0" wp14:anchorId="4340BBCE" wp14:editId="5EA4BF1D">
            <wp:extent cx="5731510" cy="3083560"/>
            <wp:effectExtent l="0" t="0" r="2540" b="2540"/>
            <wp:docPr id="705633337" name="Picture 1" descr="Image of a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33337" name="Picture 1" descr="Image of a flow char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083560"/>
                    </a:xfrm>
                    <a:prstGeom prst="rect">
                      <a:avLst/>
                    </a:prstGeom>
                  </pic:spPr>
                </pic:pic>
              </a:graphicData>
            </a:graphic>
          </wp:inline>
        </w:drawing>
      </w:r>
    </w:p>
    <w:p w14:paraId="08D4A464" w14:textId="77777777" w:rsidR="003A7694" w:rsidRDefault="003A7694" w:rsidP="003C3743">
      <w:pPr>
        <w:pStyle w:val="Caption"/>
      </w:pPr>
      <w:bookmarkStart w:id="1" w:name="_Ref174632049"/>
    </w:p>
    <w:p w14:paraId="7650B7AB" w14:textId="06101DAB" w:rsidR="003C3743" w:rsidRPr="006030DC" w:rsidRDefault="003C3743" w:rsidP="006030DC">
      <w:pPr>
        <w:pStyle w:val="Caption"/>
        <w:rPr>
          <w:color w:val="000000" w:themeColor="text1"/>
          <w:sz w:val="22"/>
          <w:szCs w:val="22"/>
        </w:rPr>
      </w:pPr>
      <w:r>
        <w:t xml:space="preserve">Figure </w:t>
      </w:r>
      <w:r>
        <w:fldChar w:fldCharType="begin"/>
      </w:r>
      <w:r>
        <w:instrText xml:space="preserve"> SEQ Figure \* ARABIC </w:instrText>
      </w:r>
      <w:r>
        <w:fldChar w:fldCharType="separate"/>
      </w:r>
      <w:r>
        <w:rPr>
          <w:noProof/>
        </w:rPr>
        <w:t>1</w:t>
      </w:r>
      <w:r>
        <w:rPr>
          <w:noProof/>
        </w:rPr>
        <w:fldChar w:fldCharType="end"/>
      </w:r>
      <w:bookmarkEnd w:id="1"/>
      <w:r>
        <w:t xml:space="preserve"> The closure criteria articulate the vision for the site and are site specifi</w:t>
      </w:r>
      <w:r w:rsidR="006030DC">
        <w:t>c</w:t>
      </w:r>
    </w:p>
    <w:p w14:paraId="60E6E0AE" w14:textId="10F33E01" w:rsidR="003C3743" w:rsidRPr="000A3AD2" w:rsidRDefault="4F7E333F" w:rsidP="00A34365">
      <w:pPr>
        <w:pStyle w:val="CommentText"/>
        <w:ind w:right="-541"/>
        <w:rPr>
          <w:color w:val="000000" w:themeColor="text1"/>
          <w:sz w:val="22"/>
          <w:szCs w:val="22"/>
        </w:rPr>
      </w:pPr>
      <w:r w:rsidRPr="00A34365">
        <w:rPr>
          <w:color w:val="000000" w:themeColor="text1"/>
          <w:sz w:val="22"/>
          <w:szCs w:val="22"/>
        </w:rPr>
        <w:t>In Victoria, declared mine licensees are required to develop closure criteria as part of their DMRP</w:t>
      </w:r>
      <w:r w:rsidR="0099388C">
        <w:rPr>
          <w:color w:val="000000" w:themeColor="text1"/>
          <w:sz w:val="22"/>
          <w:szCs w:val="22"/>
        </w:rPr>
        <w:t>.</w:t>
      </w:r>
      <w:r w:rsidRPr="00A34365">
        <w:rPr>
          <w:color w:val="000000" w:themeColor="text1"/>
          <w:sz w:val="22"/>
          <w:szCs w:val="22"/>
        </w:rPr>
        <w:t xml:space="preserve">  The </w:t>
      </w:r>
      <w:r w:rsidR="00802956">
        <w:rPr>
          <w:color w:val="000000" w:themeColor="text1"/>
          <w:sz w:val="22"/>
          <w:szCs w:val="22"/>
        </w:rPr>
        <w:t xml:space="preserve">law allows this to be updated over time </w:t>
      </w:r>
      <w:r w:rsidR="00A75AEE">
        <w:rPr>
          <w:color w:val="000000" w:themeColor="text1"/>
          <w:sz w:val="22"/>
          <w:szCs w:val="22"/>
        </w:rPr>
        <w:t xml:space="preserve">as new information becomes available. </w:t>
      </w:r>
    </w:p>
    <w:p w14:paraId="11A309A5" w14:textId="44215B58" w:rsidR="003C3743" w:rsidRPr="002D233D" w:rsidRDefault="003C3743" w:rsidP="003C3743">
      <w:pPr>
        <w:pStyle w:val="Heading2"/>
        <w:rPr>
          <w:color w:val="0070C0"/>
          <w:sz w:val="24"/>
          <w:szCs w:val="24"/>
        </w:rPr>
      </w:pPr>
      <w:r w:rsidRPr="002D233D">
        <w:rPr>
          <w:color w:val="0070C0"/>
          <w:sz w:val="24"/>
          <w:szCs w:val="24"/>
        </w:rPr>
        <w:lastRenderedPageBreak/>
        <w:t xml:space="preserve">Closure Criteria in Detail </w:t>
      </w:r>
    </w:p>
    <w:p w14:paraId="36B5AF6C" w14:textId="2171DB59" w:rsidR="003C3743" w:rsidRPr="00E54104" w:rsidRDefault="00325174" w:rsidP="007930FC">
      <w:pPr>
        <w:pStyle w:val="CommentText"/>
        <w:ind w:right="-541"/>
        <w:rPr>
          <w:color w:val="000000" w:themeColor="text1"/>
          <w:sz w:val="22"/>
          <w:szCs w:val="22"/>
        </w:rPr>
      </w:pPr>
      <w:r w:rsidRPr="10EA72A9">
        <w:rPr>
          <w:color w:val="000000" w:themeColor="text1"/>
          <w:sz w:val="22"/>
          <w:szCs w:val="22"/>
        </w:rPr>
        <w:t xml:space="preserve">Closure criteria in Victoria </w:t>
      </w:r>
      <w:r w:rsidR="003C3743" w:rsidRPr="10EA72A9">
        <w:rPr>
          <w:color w:val="000000" w:themeColor="text1"/>
          <w:sz w:val="22"/>
          <w:szCs w:val="22"/>
        </w:rPr>
        <w:t xml:space="preserve">must be S.M.A.R.T. (Specific, Measurable, Achievable, Relevant, Time-bound). Legislation allows for these criteria to be matured over time, as planning advances and site knowledge develops. </w:t>
      </w:r>
    </w:p>
    <w:p w14:paraId="3B5FCB8E" w14:textId="3F095A9C" w:rsidR="002C4072" w:rsidRPr="007B5EDC" w:rsidRDefault="003C3743" w:rsidP="00E54104">
      <w:pPr>
        <w:pStyle w:val="CommentText"/>
        <w:ind w:right="-541"/>
        <w:rPr>
          <w:color w:val="000000" w:themeColor="text1"/>
          <w:sz w:val="22"/>
          <w:szCs w:val="22"/>
        </w:rPr>
      </w:pPr>
      <w:r w:rsidRPr="10EA72A9">
        <w:rPr>
          <w:color w:val="000000" w:themeColor="text1"/>
          <w:sz w:val="22"/>
          <w:szCs w:val="22"/>
        </w:rPr>
        <w:t>The final, approved criteria should demonstrate that the</w:t>
      </w:r>
      <w:r w:rsidR="00D92AA2" w:rsidRPr="10EA72A9">
        <w:rPr>
          <w:color w:val="000000" w:themeColor="text1"/>
          <w:sz w:val="22"/>
          <w:szCs w:val="22"/>
        </w:rPr>
        <w:t xml:space="preserve"> rehabilitated landform </w:t>
      </w:r>
      <w:r w:rsidR="0036770F" w:rsidRPr="10EA72A9">
        <w:rPr>
          <w:color w:val="000000" w:themeColor="text1"/>
          <w:sz w:val="22"/>
          <w:szCs w:val="22"/>
        </w:rPr>
        <w:t>is safe, stable</w:t>
      </w:r>
      <w:r w:rsidR="56718B31" w:rsidRPr="10EA72A9">
        <w:rPr>
          <w:color w:val="000000" w:themeColor="text1"/>
          <w:sz w:val="22"/>
          <w:szCs w:val="22"/>
        </w:rPr>
        <w:t xml:space="preserve"> and</w:t>
      </w:r>
      <w:r w:rsidR="0036770F" w:rsidRPr="10EA72A9">
        <w:rPr>
          <w:color w:val="000000" w:themeColor="text1"/>
          <w:sz w:val="22"/>
          <w:szCs w:val="22"/>
        </w:rPr>
        <w:t xml:space="preserve"> sustainable</w:t>
      </w:r>
      <w:r w:rsidR="740DF2E8" w:rsidRPr="10EA72A9">
        <w:rPr>
          <w:color w:val="000000" w:themeColor="text1"/>
          <w:sz w:val="22"/>
          <w:szCs w:val="22"/>
        </w:rPr>
        <w:t xml:space="preserve">, and that it can </w:t>
      </w:r>
      <w:r w:rsidR="001F4933" w:rsidRPr="10EA72A9">
        <w:rPr>
          <w:color w:val="000000" w:themeColor="text1"/>
          <w:sz w:val="22"/>
          <w:szCs w:val="22"/>
        </w:rPr>
        <w:t xml:space="preserve">support </w:t>
      </w:r>
      <w:r w:rsidR="5C6AD1DC" w:rsidRPr="10EA72A9">
        <w:rPr>
          <w:color w:val="000000" w:themeColor="text1"/>
          <w:sz w:val="22"/>
          <w:szCs w:val="22"/>
        </w:rPr>
        <w:t xml:space="preserve">the </w:t>
      </w:r>
      <w:r w:rsidRPr="10EA72A9">
        <w:rPr>
          <w:color w:val="000000" w:themeColor="text1"/>
          <w:sz w:val="22"/>
          <w:szCs w:val="22"/>
        </w:rPr>
        <w:t>proposed end land uses</w:t>
      </w:r>
      <w:r w:rsidR="00887B67" w:rsidRPr="10EA72A9">
        <w:rPr>
          <w:color w:val="000000" w:themeColor="text1"/>
          <w:sz w:val="22"/>
          <w:szCs w:val="22"/>
        </w:rPr>
        <w:t xml:space="preserve">. </w:t>
      </w:r>
      <w:r w:rsidR="00BA42C1" w:rsidRPr="10EA72A9">
        <w:rPr>
          <w:color w:val="000000" w:themeColor="text1"/>
          <w:sz w:val="22"/>
          <w:szCs w:val="22"/>
        </w:rPr>
        <w:t>C</w:t>
      </w:r>
      <w:r w:rsidR="00887B67" w:rsidRPr="10EA72A9">
        <w:rPr>
          <w:color w:val="000000" w:themeColor="text1"/>
          <w:sz w:val="22"/>
          <w:szCs w:val="22"/>
        </w:rPr>
        <w:t>riteria</w:t>
      </w:r>
      <w:r w:rsidR="00BA42C1" w:rsidRPr="10EA72A9">
        <w:rPr>
          <w:color w:val="000000" w:themeColor="text1"/>
          <w:sz w:val="22"/>
          <w:szCs w:val="22"/>
        </w:rPr>
        <w:t xml:space="preserve"> are developed by</w:t>
      </w:r>
      <w:r w:rsidR="00C72BAD" w:rsidRPr="10EA72A9">
        <w:rPr>
          <w:color w:val="000000" w:themeColor="text1"/>
          <w:sz w:val="22"/>
          <w:szCs w:val="22"/>
        </w:rPr>
        <w:t xml:space="preserve"> focusing on</w:t>
      </w:r>
      <w:r w:rsidR="005D54BD" w:rsidRPr="10EA72A9">
        <w:rPr>
          <w:color w:val="000000" w:themeColor="text1"/>
          <w:sz w:val="22"/>
          <w:szCs w:val="22"/>
        </w:rPr>
        <w:t xml:space="preserve"> the</w:t>
      </w:r>
      <w:r w:rsidR="00D20AEF" w:rsidRPr="10EA72A9">
        <w:rPr>
          <w:color w:val="000000" w:themeColor="text1"/>
          <w:sz w:val="22"/>
          <w:szCs w:val="22"/>
        </w:rPr>
        <w:t xml:space="preserve"> measurement of </w:t>
      </w:r>
      <w:r w:rsidRPr="10EA72A9">
        <w:rPr>
          <w:color w:val="000000" w:themeColor="text1"/>
          <w:sz w:val="22"/>
          <w:szCs w:val="22"/>
        </w:rPr>
        <w:t>controls</w:t>
      </w:r>
      <w:r w:rsidR="002D4312" w:rsidRPr="10EA72A9">
        <w:rPr>
          <w:color w:val="000000" w:themeColor="text1"/>
          <w:sz w:val="22"/>
          <w:szCs w:val="22"/>
        </w:rPr>
        <w:t xml:space="preserve"> </w:t>
      </w:r>
      <w:r w:rsidR="007B4E5E" w:rsidRPr="10EA72A9">
        <w:rPr>
          <w:color w:val="000000" w:themeColor="text1"/>
          <w:sz w:val="22"/>
          <w:szCs w:val="22"/>
        </w:rPr>
        <w:t>for</w:t>
      </w:r>
      <w:r w:rsidR="002D4312" w:rsidRPr="10EA72A9">
        <w:rPr>
          <w:color w:val="000000" w:themeColor="text1"/>
          <w:sz w:val="22"/>
          <w:szCs w:val="22"/>
        </w:rPr>
        <w:t xml:space="preserve"> key risks</w:t>
      </w:r>
      <w:r w:rsidR="000460A7" w:rsidRPr="10EA72A9">
        <w:rPr>
          <w:color w:val="000000" w:themeColor="text1"/>
          <w:sz w:val="22"/>
          <w:szCs w:val="22"/>
        </w:rPr>
        <w:t xml:space="preserve"> demonstrating the successful long-term mitigation</w:t>
      </w:r>
      <w:r w:rsidRPr="10EA72A9">
        <w:rPr>
          <w:color w:val="000000" w:themeColor="text1"/>
          <w:sz w:val="22"/>
          <w:szCs w:val="22"/>
        </w:rPr>
        <w:t>,</w:t>
      </w:r>
      <w:r w:rsidR="007B4E5E" w:rsidRPr="10EA72A9">
        <w:rPr>
          <w:color w:val="000000" w:themeColor="text1"/>
          <w:sz w:val="22"/>
          <w:szCs w:val="22"/>
        </w:rPr>
        <w:t xml:space="preserve"> </w:t>
      </w:r>
      <w:r w:rsidR="00BA42C1" w:rsidRPr="10EA72A9">
        <w:rPr>
          <w:color w:val="000000" w:themeColor="text1"/>
          <w:sz w:val="22"/>
          <w:szCs w:val="22"/>
        </w:rPr>
        <w:t xml:space="preserve">the </w:t>
      </w:r>
      <w:r w:rsidR="006D14A0" w:rsidRPr="10EA72A9">
        <w:rPr>
          <w:color w:val="000000" w:themeColor="text1"/>
          <w:sz w:val="22"/>
          <w:szCs w:val="22"/>
        </w:rPr>
        <w:t>construction and performance of designs,</w:t>
      </w:r>
      <w:r w:rsidRPr="10EA72A9">
        <w:rPr>
          <w:color w:val="000000" w:themeColor="text1"/>
          <w:sz w:val="22"/>
          <w:szCs w:val="22"/>
        </w:rPr>
        <w:t xml:space="preserve"> </w:t>
      </w:r>
      <w:r w:rsidR="00C72BAD" w:rsidRPr="10EA72A9">
        <w:rPr>
          <w:color w:val="000000" w:themeColor="text1"/>
          <w:sz w:val="22"/>
          <w:szCs w:val="22"/>
        </w:rPr>
        <w:t xml:space="preserve">and other relevant </w:t>
      </w:r>
      <w:r w:rsidR="000460A7" w:rsidRPr="10EA72A9">
        <w:rPr>
          <w:color w:val="000000" w:themeColor="text1"/>
          <w:sz w:val="22"/>
          <w:szCs w:val="22"/>
        </w:rPr>
        <w:t>aspects to</w:t>
      </w:r>
      <w:r w:rsidRPr="10EA72A9">
        <w:rPr>
          <w:color w:val="000000" w:themeColor="text1"/>
          <w:sz w:val="22"/>
          <w:szCs w:val="22"/>
        </w:rPr>
        <w:t xml:space="preserve">, thereby demonstrating the successful rehabilitation. </w:t>
      </w:r>
    </w:p>
    <w:p w14:paraId="690B1642" w14:textId="13D7629E" w:rsidR="003C3743" w:rsidRDefault="007946E6" w:rsidP="003C3743">
      <w:pPr>
        <w:rPr>
          <w:rFonts w:ascii="Arial" w:hAnsi="Arial" w:cs="Arial"/>
          <w:lang w:eastAsia="en-GB"/>
        </w:rPr>
      </w:pPr>
      <w:r>
        <w:rPr>
          <w:rFonts w:ascii="Arial" w:hAnsi="Arial" w:cs="Arial"/>
          <w:lang w:eastAsia="en-GB"/>
        </w:rPr>
        <w:t>Criteria</w:t>
      </w:r>
      <w:r w:rsidR="00D01678">
        <w:rPr>
          <w:rFonts w:ascii="Arial" w:hAnsi="Arial" w:cs="Arial"/>
          <w:lang w:eastAsia="en-GB"/>
        </w:rPr>
        <w:t xml:space="preserve"> are likely to </w:t>
      </w:r>
      <w:r>
        <w:rPr>
          <w:rFonts w:ascii="Arial" w:hAnsi="Arial" w:cs="Arial"/>
          <w:lang w:eastAsia="en-GB"/>
        </w:rPr>
        <w:t xml:space="preserve">be developed to </w:t>
      </w:r>
      <w:r w:rsidR="003C3743">
        <w:rPr>
          <w:rFonts w:ascii="Arial" w:hAnsi="Arial" w:cs="Arial"/>
          <w:lang w:eastAsia="en-GB"/>
        </w:rPr>
        <w:t>demonstrate that</w:t>
      </w:r>
      <w:r w:rsidR="00B4725E">
        <w:rPr>
          <w:rFonts w:ascii="Arial" w:hAnsi="Arial" w:cs="Arial"/>
          <w:lang w:eastAsia="en-GB"/>
        </w:rPr>
        <w:t xml:space="preserve"> the following </w:t>
      </w:r>
      <w:r w:rsidR="00E54104">
        <w:rPr>
          <w:rFonts w:ascii="Arial" w:hAnsi="Arial" w:cs="Arial"/>
          <w:lang w:eastAsia="en-GB"/>
        </w:rPr>
        <w:t xml:space="preserve">examples of </w:t>
      </w:r>
      <w:r w:rsidR="00CA7EEF">
        <w:rPr>
          <w:rFonts w:ascii="Arial" w:hAnsi="Arial" w:cs="Arial"/>
          <w:lang w:eastAsia="en-GB"/>
        </w:rPr>
        <w:t xml:space="preserve">objectives </w:t>
      </w:r>
      <w:r w:rsidR="00B4725E">
        <w:rPr>
          <w:rFonts w:ascii="Arial" w:hAnsi="Arial" w:cs="Arial"/>
          <w:lang w:eastAsia="en-GB"/>
        </w:rPr>
        <w:t>ha</w:t>
      </w:r>
      <w:r w:rsidR="00CA7EEF">
        <w:rPr>
          <w:rFonts w:ascii="Arial" w:hAnsi="Arial" w:cs="Arial"/>
          <w:lang w:eastAsia="en-GB"/>
        </w:rPr>
        <w:t>ve</w:t>
      </w:r>
      <w:r w:rsidR="00B4725E">
        <w:rPr>
          <w:rFonts w:ascii="Arial" w:hAnsi="Arial" w:cs="Arial"/>
          <w:lang w:eastAsia="en-GB"/>
        </w:rPr>
        <w:t xml:space="preserve"> been achieved</w:t>
      </w:r>
      <w:r w:rsidR="003C3743">
        <w:rPr>
          <w:rFonts w:ascii="Arial" w:hAnsi="Arial" w:cs="Arial"/>
          <w:lang w:eastAsia="en-GB"/>
        </w:rPr>
        <w:t>:</w:t>
      </w:r>
    </w:p>
    <w:p w14:paraId="6961C7A7" w14:textId="3523F893" w:rsidR="003C3743" w:rsidRPr="0057023C" w:rsidRDefault="003C3743" w:rsidP="003C3743">
      <w:pPr>
        <w:pStyle w:val="ListParagraph"/>
        <w:numPr>
          <w:ilvl w:val="0"/>
          <w:numId w:val="1"/>
        </w:numPr>
        <w:rPr>
          <w:rFonts w:ascii="Arial" w:hAnsi="Arial" w:cs="Arial"/>
          <w:lang w:eastAsia="en-GB"/>
        </w:rPr>
      </w:pPr>
      <w:r w:rsidRPr="10EA72A9">
        <w:rPr>
          <w:rFonts w:ascii="Arial" w:hAnsi="Arial" w:cs="Arial"/>
          <w:lang w:eastAsia="en-GB"/>
        </w:rPr>
        <w:t>mine batters are stable</w:t>
      </w:r>
    </w:p>
    <w:p w14:paraId="67353E29" w14:textId="52CD0EAC" w:rsidR="003C3743" w:rsidRPr="0057023C" w:rsidRDefault="003C3743" w:rsidP="003C3743">
      <w:pPr>
        <w:pStyle w:val="ListParagraph"/>
        <w:numPr>
          <w:ilvl w:val="0"/>
          <w:numId w:val="1"/>
        </w:numPr>
        <w:rPr>
          <w:rFonts w:ascii="Arial" w:hAnsi="Arial" w:cs="Arial"/>
          <w:lang w:eastAsia="en-GB"/>
        </w:rPr>
      </w:pPr>
      <w:r w:rsidRPr="672C1163">
        <w:rPr>
          <w:rFonts w:ascii="Arial" w:hAnsi="Arial" w:cs="Arial"/>
          <w:lang w:eastAsia="en-GB"/>
        </w:rPr>
        <w:t xml:space="preserve">vegetation </w:t>
      </w:r>
      <w:r>
        <w:rPr>
          <w:rFonts w:ascii="Arial" w:hAnsi="Arial" w:cs="Arial"/>
          <w:lang w:eastAsia="en-GB"/>
        </w:rPr>
        <w:t>is</w:t>
      </w:r>
      <w:r w:rsidRPr="672C1163">
        <w:rPr>
          <w:rFonts w:ascii="Arial" w:hAnsi="Arial" w:cs="Arial"/>
          <w:lang w:eastAsia="en-GB"/>
        </w:rPr>
        <w:t xml:space="preserve"> self-sustaining and resilient</w:t>
      </w:r>
    </w:p>
    <w:p w14:paraId="009EABB3" w14:textId="7791E5FC" w:rsidR="003C3743" w:rsidRPr="0057023C" w:rsidRDefault="003C3743" w:rsidP="003C3743">
      <w:pPr>
        <w:pStyle w:val="ListParagraph"/>
        <w:numPr>
          <w:ilvl w:val="0"/>
          <w:numId w:val="1"/>
        </w:numPr>
        <w:rPr>
          <w:rFonts w:ascii="Arial" w:hAnsi="Arial" w:cs="Arial"/>
          <w:lang w:eastAsia="en-GB"/>
        </w:rPr>
      </w:pPr>
      <w:r w:rsidRPr="10EA72A9">
        <w:rPr>
          <w:rFonts w:ascii="Arial" w:hAnsi="Arial" w:cs="Arial"/>
          <w:lang w:eastAsia="en-GB"/>
        </w:rPr>
        <w:t xml:space="preserve">water quality is suitable for proposed end land uses </w:t>
      </w:r>
    </w:p>
    <w:p w14:paraId="622DAEB8" w14:textId="77777777" w:rsidR="003C3743" w:rsidRPr="002D233D" w:rsidRDefault="003C3743" w:rsidP="003C3743">
      <w:pPr>
        <w:pStyle w:val="Heading2"/>
        <w:rPr>
          <w:color w:val="0070C0"/>
          <w:sz w:val="24"/>
          <w:szCs w:val="24"/>
        </w:rPr>
      </w:pPr>
      <w:r w:rsidRPr="002D233D">
        <w:rPr>
          <w:color w:val="0070C0"/>
          <w:sz w:val="24"/>
          <w:szCs w:val="24"/>
        </w:rPr>
        <w:t>Who is responsible?</w:t>
      </w:r>
    </w:p>
    <w:p w14:paraId="0D94A7A2" w14:textId="70095F21" w:rsidR="003C3743" w:rsidRDefault="003C3743" w:rsidP="003C3743">
      <w:pPr>
        <w:pStyle w:val="CommentText"/>
        <w:ind w:right="-541"/>
        <w:rPr>
          <w:color w:val="000000" w:themeColor="text1"/>
          <w:sz w:val="22"/>
          <w:szCs w:val="22"/>
        </w:rPr>
      </w:pPr>
      <w:r w:rsidRPr="41D2B2A5">
        <w:rPr>
          <w:color w:val="000000" w:themeColor="text1"/>
          <w:sz w:val="22"/>
          <w:szCs w:val="22"/>
        </w:rPr>
        <w:t>In Victoria, legislation requires declared mine licensees to develop closure criteria that ensure the site is left ‘safe, stable and sustainable</w:t>
      </w:r>
      <w:bookmarkStart w:id="2" w:name="_Int_r0vDU2Ez"/>
      <w:r w:rsidRPr="41D2B2A5">
        <w:rPr>
          <w:color w:val="000000" w:themeColor="text1"/>
          <w:sz w:val="22"/>
          <w:szCs w:val="22"/>
        </w:rPr>
        <w:t>’.</w:t>
      </w:r>
      <w:bookmarkEnd w:id="2"/>
    </w:p>
    <w:p w14:paraId="0333DBE0" w14:textId="5D517290" w:rsidR="003C3743" w:rsidRDefault="6E7FB334" w:rsidP="10EA72A9">
      <w:pPr>
        <w:pStyle w:val="CommentText"/>
        <w:ind w:right="-541"/>
        <w:rPr>
          <w:color w:val="000000" w:themeColor="text1"/>
          <w:sz w:val="22"/>
          <w:szCs w:val="22"/>
        </w:rPr>
      </w:pPr>
      <w:r w:rsidRPr="10EA72A9">
        <w:rPr>
          <w:color w:val="000000" w:themeColor="text1"/>
          <w:sz w:val="22"/>
          <w:szCs w:val="22"/>
        </w:rPr>
        <w:t xml:space="preserve">Closure criteria </w:t>
      </w:r>
      <w:r w:rsidR="00A10A21">
        <w:rPr>
          <w:color w:val="000000" w:themeColor="text1"/>
          <w:sz w:val="22"/>
          <w:szCs w:val="22"/>
        </w:rPr>
        <w:t>are</w:t>
      </w:r>
      <w:r w:rsidR="35418A36" w:rsidRPr="10EA72A9">
        <w:rPr>
          <w:color w:val="000000" w:themeColor="text1"/>
          <w:sz w:val="22"/>
          <w:szCs w:val="22"/>
        </w:rPr>
        <w:t xml:space="preserve"> assessed by </w:t>
      </w:r>
      <w:r w:rsidR="68681883" w:rsidRPr="10EA72A9">
        <w:rPr>
          <w:color w:val="000000" w:themeColor="text1"/>
          <w:sz w:val="22"/>
          <w:szCs w:val="22"/>
        </w:rPr>
        <w:t xml:space="preserve">Resources Victoria </w:t>
      </w:r>
      <w:r w:rsidR="35418A36" w:rsidRPr="10EA72A9">
        <w:rPr>
          <w:color w:val="000000" w:themeColor="text1"/>
          <w:sz w:val="22"/>
          <w:szCs w:val="22"/>
        </w:rPr>
        <w:t>as part of the Declared Mine Rehabilitation Plan (DMRP) assessment process.</w:t>
      </w:r>
      <w:r w:rsidR="360FBB85" w:rsidRPr="10EA72A9">
        <w:rPr>
          <w:color w:val="000000" w:themeColor="text1"/>
          <w:sz w:val="22"/>
          <w:szCs w:val="22"/>
        </w:rPr>
        <w:t xml:space="preserve"> </w:t>
      </w:r>
    </w:p>
    <w:p w14:paraId="1AEFA82D" w14:textId="2FF0D75E" w:rsidR="003C3743" w:rsidRDefault="00654ECD" w:rsidP="003C3743">
      <w:pPr>
        <w:pStyle w:val="CommentText"/>
        <w:ind w:right="-541"/>
        <w:rPr>
          <w:color w:val="000000" w:themeColor="text1"/>
          <w:sz w:val="22"/>
          <w:szCs w:val="22"/>
        </w:rPr>
      </w:pPr>
      <w:r w:rsidRPr="7B365F67">
        <w:rPr>
          <w:color w:val="000000" w:themeColor="text1"/>
          <w:sz w:val="22"/>
          <w:szCs w:val="22"/>
        </w:rPr>
        <w:t>T</w:t>
      </w:r>
      <w:r w:rsidR="19D6FA8A" w:rsidRPr="7B365F67">
        <w:rPr>
          <w:color w:val="000000" w:themeColor="text1"/>
          <w:sz w:val="22"/>
          <w:szCs w:val="22"/>
        </w:rPr>
        <w:t xml:space="preserve">he DMRP </w:t>
      </w:r>
      <w:r w:rsidRPr="7B365F67">
        <w:rPr>
          <w:color w:val="000000" w:themeColor="text1"/>
          <w:sz w:val="22"/>
          <w:szCs w:val="22"/>
        </w:rPr>
        <w:t xml:space="preserve">must </w:t>
      </w:r>
      <w:r w:rsidR="19D6FA8A" w:rsidRPr="7B365F67">
        <w:rPr>
          <w:color w:val="000000" w:themeColor="text1"/>
          <w:sz w:val="22"/>
          <w:szCs w:val="22"/>
        </w:rPr>
        <w:t xml:space="preserve">be referred to </w:t>
      </w:r>
      <w:r w:rsidR="00640020" w:rsidRPr="7B365F67">
        <w:rPr>
          <w:color w:val="000000" w:themeColor="text1"/>
          <w:sz w:val="22"/>
          <w:szCs w:val="22"/>
        </w:rPr>
        <w:t>relevant agencies</w:t>
      </w:r>
      <w:r w:rsidR="00820D9D" w:rsidRPr="7B365F67">
        <w:rPr>
          <w:color w:val="000000" w:themeColor="text1"/>
          <w:sz w:val="22"/>
          <w:szCs w:val="22"/>
        </w:rPr>
        <w:t xml:space="preserve"> </w:t>
      </w:r>
      <w:r w:rsidR="00F37B03" w:rsidRPr="7B365F67">
        <w:rPr>
          <w:color w:val="000000" w:themeColor="text1"/>
          <w:sz w:val="22"/>
          <w:szCs w:val="22"/>
        </w:rPr>
        <w:t xml:space="preserve">and to the </w:t>
      </w:r>
      <w:r w:rsidR="003C3743" w:rsidRPr="7B365F67">
        <w:rPr>
          <w:color w:val="000000" w:themeColor="text1"/>
          <w:sz w:val="22"/>
          <w:szCs w:val="22"/>
        </w:rPr>
        <w:t xml:space="preserve">Ministers responsible for Crown Land, Environmental Protection, Forests, Land, National Parks, Planning and Environment, Water and Wildlife. </w:t>
      </w:r>
    </w:p>
    <w:p w14:paraId="77139445" w14:textId="265644AA" w:rsidR="003C3743" w:rsidRDefault="003C3743" w:rsidP="003C3743">
      <w:pPr>
        <w:pStyle w:val="CommentText"/>
        <w:ind w:right="-541"/>
        <w:rPr>
          <w:color w:val="000000" w:themeColor="text1"/>
          <w:sz w:val="22"/>
          <w:szCs w:val="22"/>
        </w:rPr>
      </w:pPr>
      <w:r w:rsidRPr="10EA72A9">
        <w:rPr>
          <w:color w:val="000000" w:themeColor="text1"/>
          <w:sz w:val="22"/>
          <w:szCs w:val="22"/>
        </w:rPr>
        <w:t xml:space="preserve">The licensees are responsible for all rehabilitation works </w:t>
      </w:r>
      <w:r w:rsidR="1D966E25" w:rsidRPr="10EA72A9">
        <w:rPr>
          <w:color w:val="000000" w:themeColor="text1"/>
          <w:sz w:val="22"/>
          <w:szCs w:val="22"/>
        </w:rPr>
        <w:t xml:space="preserve">to make the site safe, stable and sustainable as detailed </w:t>
      </w:r>
      <w:r w:rsidRPr="10EA72A9">
        <w:rPr>
          <w:color w:val="000000" w:themeColor="text1"/>
          <w:sz w:val="22"/>
          <w:szCs w:val="22"/>
        </w:rPr>
        <w:t>in the DMRP</w:t>
      </w:r>
      <w:r w:rsidR="130A7CA6" w:rsidRPr="10EA72A9">
        <w:rPr>
          <w:color w:val="000000" w:themeColor="text1"/>
          <w:sz w:val="22"/>
          <w:szCs w:val="22"/>
        </w:rPr>
        <w:t>. This includes</w:t>
      </w:r>
      <w:r w:rsidR="3264A67C" w:rsidRPr="10EA72A9">
        <w:rPr>
          <w:color w:val="000000" w:themeColor="text1"/>
          <w:sz w:val="22"/>
          <w:szCs w:val="22"/>
        </w:rPr>
        <w:t xml:space="preserve"> </w:t>
      </w:r>
      <w:r w:rsidRPr="10EA72A9">
        <w:rPr>
          <w:color w:val="000000" w:themeColor="text1"/>
          <w:sz w:val="22"/>
          <w:szCs w:val="22"/>
        </w:rPr>
        <w:t xml:space="preserve">monitoring to demonstrate </w:t>
      </w:r>
      <w:r w:rsidR="7FE581B2" w:rsidRPr="10EA72A9">
        <w:rPr>
          <w:color w:val="000000" w:themeColor="text1"/>
          <w:sz w:val="22"/>
          <w:szCs w:val="22"/>
        </w:rPr>
        <w:t xml:space="preserve">the achievement of the closure criteria and thereby </w:t>
      </w:r>
      <w:r w:rsidRPr="10EA72A9">
        <w:rPr>
          <w:color w:val="000000" w:themeColor="text1"/>
          <w:sz w:val="22"/>
          <w:szCs w:val="22"/>
        </w:rPr>
        <w:t>successful rehabilitation.</w:t>
      </w:r>
    </w:p>
    <w:p w14:paraId="452C17AC" w14:textId="27F9182C" w:rsidR="003C3743" w:rsidRDefault="003C3743" w:rsidP="003C3743">
      <w:pPr>
        <w:pStyle w:val="CommentText"/>
        <w:ind w:right="-541"/>
        <w:rPr>
          <w:color w:val="000000" w:themeColor="text1"/>
          <w:sz w:val="22"/>
          <w:szCs w:val="22"/>
        </w:rPr>
      </w:pPr>
      <w:r w:rsidRPr="7B365F67">
        <w:rPr>
          <w:color w:val="000000" w:themeColor="text1"/>
          <w:sz w:val="22"/>
          <w:szCs w:val="22"/>
        </w:rPr>
        <w:t>Licensees will apply to the Minister for Resources, who will determine if the criteria are met and if the licen</w:t>
      </w:r>
      <w:r w:rsidR="1C8EF1CC" w:rsidRPr="7B365F67">
        <w:rPr>
          <w:color w:val="000000" w:themeColor="text1"/>
          <w:sz w:val="22"/>
          <w:szCs w:val="22"/>
        </w:rPr>
        <w:t>c</w:t>
      </w:r>
      <w:r w:rsidRPr="7B365F67">
        <w:rPr>
          <w:color w:val="000000" w:themeColor="text1"/>
          <w:sz w:val="22"/>
          <w:szCs w:val="22"/>
        </w:rPr>
        <w:t xml:space="preserve">e can be surrendered. </w:t>
      </w:r>
      <w:r w:rsidR="007227A4" w:rsidRPr="7B365F67">
        <w:rPr>
          <w:color w:val="000000" w:themeColor="text1"/>
          <w:sz w:val="22"/>
          <w:szCs w:val="22"/>
        </w:rPr>
        <w:t>Relevant agencies</w:t>
      </w:r>
      <w:r w:rsidRPr="7B365F67">
        <w:rPr>
          <w:color w:val="000000" w:themeColor="text1"/>
          <w:sz w:val="22"/>
          <w:szCs w:val="22"/>
        </w:rPr>
        <w:t xml:space="preserve"> will be consulted by the Minister on this </w:t>
      </w:r>
      <w:r w:rsidR="7A132C4D" w:rsidRPr="7B365F67">
        <w:rPr>
          <w:color w:val="000000" w:themeColor="text1"/>
          <w:sz w:val="22"/>
          <w:szCs w:val="22"/>
        </w:rPr>
        <w:t>determination</w:t>
      </w:r>
      <w:r w:rsidRPr="7B365F67">
        <w:rPr>
          <w:color w:val="000000" w:themeColor="text1"/>
          <w:sz w:val="22"/>
          <w:szCs w:val="22"/>
        </w:rPr>
        <w:t>.</w:t>
      </w:r>
    </w:p>
    <w:p w14:paraId="4794FE05" w14:textId="77777777" w:rsidR="003C3743" w:rsidRPr="006533CF" w:rsidRDefault="003C3743" w:rsidP="003C3743">
      <w:pPr>
        <w:pStyle w:val="CommentText"/>
        <w:ind w:right="-541"/>
        <w:rPr>
          <w:color w:val="000000" w:themeColor="text1"/>
          <w:sz w:val="18"/>
          <w:szCs w:val="18"/>
        </w:rPr>
      </w:pPr>
      <w:r w:rsidRPr="006533CF">
        <w:rPr>
          <w:color w:val="000000" w:themeColor="text1"/>
          <w:sz w:val="18"/>
          <w:szCs w:val="18"/>
        </w:rPr>
        <w:t xml:space="preserve">MLRA Content Disclaimer: </w:t>
      </w:r>
    </w:p>
    <w:p w14:paraId="2B2E0C1B" w14:textId="4BEFF856" w:rsidR="003C3743" w:rsidRPr="002D233D" w:rsidRDefault="003C3743" w:rsidP="002D233D">
      <w:pPr>
        <w:pStyle w:val="CommentText"/>
        <w:ind w:right="-541"/>
        <w:rPr>
          <w:color w:val="000000" w:themeColor="text1"/>
          <w:sz w:val="18"/>
          <w:szCs w:val="18"/>
        </w:rPr>
      </w:pPr>
      <w:r w:rsidRPr="006533CF">
        <w:rPr>
          <w:color w:val="000000" w:themeColor="text1"/>
          <w:sz w:val="18"/>
          <w:szCs w:val="18"/>
        </w:rPr>
        <w:t>This content provides the MLRA's high-level overview of aspects of mine rehabilitation in the Latrobe Valley. It does not reflect the opinions, pre-empt decisions or policies of Resources Victoria, mine licensees or any other government department.  The information was accurate to the best of the MLRA's knowledge at the time of publication and is intended to inform the community, stakeholders and Traditional Owners.</w:t>
      </w:r>
    </w:p>
    <w:p w14:paraId="20934386" w14:textId="77777777" w:rsidR="003C3743" w:rsidRPr="002D233D" w:rsidRDefault="003C3743" w:rsidP="003C3743">
      <w:pPr>
        <w:rPr>
          <w:rFonts w:ascii="Arial" w:hAnsi="Arial" w:cs="Arial"/>
          <w:color w:val="000000" w:themeColor="text1"/>
          <w:sz w:val="20"/>
          <w:szCs w:val="20"/>
        </w:rPr>
      </w:pPr>
      <w:r w:rsidRPr="002D233D">
        <w:rPr>
          <w:rFonts w:ascii="Arial" w:hAnsi="Arial" w:cs="Arial"/>
          <w:sz w:val="20"/>
          <w:szCs w:val="20"/>
          <w:lang w:eastAsia="en-GB"/>
        </w:rPr>
        <w:t xml:space="preserve">Contact the MLRA for more information on 1800 571 966 or </w:t>
      </w:r>
      <w:hyperlink r:id="rId13" w:history="1">
        <w:r w:rsidRPr="002D233D">
          <w:rPr>
            <w:rStyle w:val="Hyperlink"/>
            <w:rFonts w:ascii="Arial" w:hAnsi="Arial" w:cs="Arial"/>
            <w:sz w:val="20"/>
            <w:szCs w:val="20"/>
            <w:lang w:eastAsia="en-GB"/>
          </w:rPr>
          <w:t>contactus@mineland.vic.gov.au</w:t>
        </w:r>
      </w:hyperlink>
      <w:r w:rsidRPr="002D233D">
        <w:rPr>
          <w:rStyle w:val="Hyperlink"/>
          <w:rFonts w:ascii="Arial" w:hAnsi="Arial" w:cs="Arial"/>
          <w:sz w:val="20"/>
          <w:szCs w:val="20"/>
          <w:lang w:eastAsia="en-GB"/>
        </w:rPr>
        <w:t xml:space="preserve">  </w:t>
      </w:r>
    </w:p>
    <w:p w14:paraId="4C922BBE" w14:textId="77777777" w:rsidR="003C3743" w:rsidRDefault="003C3743" w:rsidP="003C3743"/>
    <w:p w14:paraId="3BB6174B" w14:textId="5016C9C4" w:rsidR="00BB5B1E" w:rsidRDefault="003C3743">
      <w:r w:rsidRPr="000536D9">
        <w:rPr>
          <w:noProof/>
        </w:rPr>
        <w:drawing>
          <wp:inline distT="0" distB="0" distL="0" distR="0" wp14:anchorId="67D01551" wp14:editId="34CEAD1A">
            <wp:extent cx="426295" cy="419100"/>
            <wp:effectExtent l="0" t="0" r="0" b="0"/>
            <wp:docPr id="1444151094" name="Picture 1444151094" descr="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logo"/>
                    <pic:cNvPicPr/>
                  </pic:nvPicPr>
                  <pic:blipFill>
                    <a:blip r:embed="rId14"/>
                    <a:stretch>
                      <a:fillRect/>
                    </a:stretch>
                  </pic:blipFill>
                  <pic:spPr>
                    <a:xfrm>
                      <a:off x="0" y="0"/>
                      <a:ext cx="433960" cy="426635"/>
                    </a:xfrm>
                    <a:prstGeom prst="rect">
                      <a:avLst/>
                    </a:prstGeom>
                  </pic:spPr>
                </pic:pic>
              </a:graphicData>
            </a:graphic>
          </wp:inline>
        </w:drawing>
      </w:r>
      <w:r>
        <w:t xml:space="preserve"> @MLRAuthority    </w:t>
      </w:r>
      <w:r w:rsidRPr="000536D9">
        <w:rPr>
          <w:noProof/>
        </w:rPr>
        <w:drawing>
          <wp:inline distT="0" distB="0" distL="0" distR="0" wp14:anchorId="77D39A3B" wp14:editId="0BD0B6D5">
            <wp:extent cx="391242" cy="381000"/>
            <wp:effectExtent l="0" t="0" r="8890" b="0"/>
            <wp:docPr id="1209897038" name="Picture 1209897038"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acebook logo"/>
                    <pic:cNvPicPr/>
                  </pic:nvPicPr>
                  <pic:blipFill>
                    <a:blip r:embed="rId15"/>
                    <a:stretch>
                      <a:fillRect/>
                    </a:stretch>
                  </pic:blipFill>
                  <pic:spPr>
                    <a:xfrm>
                      <a:off x="0" y="0"/>
                      <a:ext cx="400133" cy="389658"/>
                    </a:xfrm>
                    <a:prstGeom prst="rect">
                      <a:avLst/>
                    </a:prstGeom>
                  </pic:spPr>
                </pic:pic>
              </a:graphicData>
            </a:graphic>
          </wp:inline>
        </w:drawing>
      </w:r>
      <w:r>
        <w:t xml:space="preserve"> Facebook.com/</w:t>
      </w:r>
      <w:proofErr w:type="spellStart"/>
      <w:r>
        <w:t>MLRAVictoria</w:t>
      </w:r>
      <w:proofErr w:type="spellEnd"/>
      <w:r>
        <w:t xml:space="preserve">   </w:t>
      </w:r>
      <w:r w:rsidRPr="000536D9">
        <w:rPr>
          <w:noProof/>
        </w:rPr>
        <w:drawing>
          <wp:inline distT="0" distB="0" distL="0" distR="0" wp14:anchorId="6102C459" wp14:editId="4233624C">
            <wp:extent cx="1104900" cy="267353"/>
            <wp:effectExtent l="0" t="0" r="0" b="0"/>
            <wp:docPr id="1488539040" name="Picture 1488539040"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YouTube logo"/>
                    <pic:cNvPicPr/>
                  </pic:nvPicPr>
                  <pic:blipFill>
                    <a:blip r:embed="rId16"/>
                    <a:stretch>
                      <a:fillRect/>
                    </a:stretch>
                  </pic:blipFill>
                  <pic:spPr>
                    <a:xfrm>
                      <a:off x="0" y="0"/>
                      <a:ext cx="1135063" cy="274651"/>
                    </a:xfrm>
                    <a:prstGeom prst="rect">
                      <a:avLst/>
                    </a:prstGeom>
                  </pic:spPr>
                </pic:pic>
              </a:graphicData>
            </a:graphic>
          </wp:inline>
        </w:drawing>
      </w:r>
      <w:r>
        <w:t xml:space="preserve"> </w:t>
      </w:r>
      <w:proofErr w:type="spellStart"/>
      <w:r>
        <w:t>MLRAuthority</w:t>
      </w:r>
      <w:proofErr w:type="spellEnd"/>
    </w:p>
    <w:sectPr w:rsidR="00BB5B1E" w:rsidSect="003C3743">
      <w:headerReference w:type="default" r:id="rId17"/>
      <w:footerReference w:type="even" r:id="rId18"/>
      <w:footerReference w:type="default" r:id="rId19"/>
      <w:headerReference w:type="first" r:id="rId20"/>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330B" w14:textId="77777777" w:rsidR="00F3169F" w:rsidRDefault="00F3169F" w:rsidP="003C3743">
      <w:pPr>
        <w:spacing w:after="0" w:line="240" w:lineRule="auto"/>
      </w:pPr>
      <w:r>
        <w:separator/>
      </w:r>
    </w:p>
  </w:endnote>
  <w:endnote w:type="continuationSeparator" w:id="0">
    <w:p w14:paraId="4D27D136" w14:textId="77777777" w:rsidR="00F3169F" w:rsidRDefault="00F3169F" w:rsidP="003C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B68E" w14:textId="69EA8D76" w:rsidR="00B91C5E" w:rsidRDefault="003C3743">
    <w:pPr>
      <w:pStyle w:val="Footer"/>
    </w:pPr>
    <w:r>
      <w:rPr>
        <w:noProof/>
        <w14:ligatures w14:val="standardContextual"/>
      </w:rPr>
      <mc:AlternateContent>
        <mc:Choice Requires="wps">
          <w:drawing>
            <wp:anchor distT="0" distB="0" distL="0" distR="0" simplePos="0" relativeHeight="251658242" behindDoc="0" locked="0" layoutInCell="1" allowOverlap="1" wp14:anchorId="6641E3F2" wp14:editId="1570B786">
              <wp:simplePos x="635" y="635"/>
              <wp:positionH relativeFrom="page">
                <wp:align>center</wp:align>
              </wp:positionH>
              <wp:positionV relativeFrom="page">
                <wp:align>bottom</wp:align>
              </wp:positionV>
              <wp:extent cx="637540" cy="391160"/>
              <wp:effectExtent l="0" t="0" r="10160" b="0"/>
              <wp:wrapNone/>
              <wp:docPr id="69797013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7540" cy="391160"/>
                      </a:xfrm>
                      <a:prstGeom prst="rect">
                        <a:avLst/>
                      </a:prstGeom>
                      <a:noFill/>
                      <a:ln>
                        <a:noFill/>
                      </a:ln>
                    </wps:spPr>
                    <wps:txbx>
                      <w:txbxContent>
                        <w:p w14:paraId="16364D06" w14:textId="3C3598CD" w:rsidR="003C3743" w:rsidRPr="003C3743" w:rsidRDefault="003C3743" w:rsidP="003C3743">
                          <w:pPr>
                            <w:spacing w:after="0"/>
                            <w:rPr>
                              <w:rFonts w:ascii="Aptos" w:eastAsia="Aptos" w:hAnsi="Aptos" w:cs="Aptos"/>
                              <w:noProof/>
                              <w:color w:val="000000"/>
                              <w:sz w:val="24"/>
                              <w:szCs w:val="24"/>
                            </w:rPr>
                          </w:pPr>
                          <w:r w:rsidRPr="003C3743">
                            <w:rPr>
                              <w:rFonts w:ascii="Aptos" w:eastAsia="Aptos" w:hAnsi="Aptos" w:cs="Aptos"/>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1E3F2" id="_x0000_t202" coordsize="21600,21600" o:spt="202" path="m,l,21600r21600,l21600,xe">
              <v:stroke joinstyle="miter"/>
              <v:path gradientshapeok="t" o:connecttype="rect"/>
            </v:shapetype>
            <v:shape id="Text Box 5" o:spid="_x0000_s1026" type="#_x0000_t202" alt="Unofficial" style="position:absolute;margin-left:0;margin-top:0;width:50.2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" filled="f" stroked="f">
              <v:textbox style="mso-fit-shape-to-text:t" inset="0,0,0,15pt">
                <w:txbxContent>
                  <w:p w14:paraId="16364D06" w14:textId="3C3598CD" w:rsidR="003C3743" w:rsidRPr="003C3743" w:rsidRDefault="003C3743" w:rsidP="003C3743">
                    <w:pPr>
                      <w:spacing w:after="0"/>
                      <w:rPr>
                        <w:rFonts w:ascii="Aptos" w:eastAsia="Aptos" w:hAnsi="Aptos" w:cs="Aptos"/>
                        <w:noProof/>
                        <w:color w:val="000000"/>
                        <w:sz w:val="24"/>
                        <w:szCs w:val="24"/>
                      </w:rPr>
                    </w:pPr>
                    <w:r w:rsidRPr="003C3743">
                      <w:rPr>
                        <w:rFonts w:ascii="Aptos" w:eastAsia="Aptos" w:hAnsi="Aptos" w:cs="Aptos"/>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4D92" w14:textId="0ABFDA03" w:rsidR="00B91C5E" w:rsidRDefault="00B91C5E">
    <w:pPr>
      <w:pStyle w:val="Footer"/>
      <w:jc w:val="right"/>
    </w:pPr>
  </w:p>
  <w:p w14:paraId="32CAE662" w14:textId="77777777" w:rsidR="00B91C5E" w:rsidRDefault="00923D8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5CAA" w14:textId="77777777" w:rsidR="00F3169F" w:rsidRDefault="00F3169F" w:rsidP="003C3743">
      <w:pPr>
        <w:spacing w:after="0" w:line="240" w:lineRule="auto"/>
      </w:pPr>
      <w:r>
        <w:separator/>
      </w:r>
    </w:p>
  </w:footnote>
  <w:footnote w:type="continuationSeparator" w:id="0">
    <w:p w14:paraId="15EC6CEB" w14:textId="77777777" w:rsidR="00F3169F" w:rsidRDefault="00F3169F" w:rsidP="003C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F5CE" w14:textId="77777777" w:rsidR="00B91C5E" w:rsidRDefault="00B91C5E" w:rsidP="00D12781">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8FB6" w14:textId="77777777" w:rsidR="00B91C5E" w:rsidRDefault="00923D8D" w:rsidP="002336D8">
    <w:pPr>
      <w:pStyle w:val="Header"/>
      <w:ind w:hanging="1418"/>
    </w:pPr>
    <w:r>
      <w:rPr>
        <w:noProof/>
      </w:rPr>
      <mc:AlternateContent>
        <mc:Choice Requires="wps">
          <w:drawing>
            <wp:anchor distT="0" distB="0" distL="114300" distR="114300" simplePos="0" relativeHeight="251658240" behindDoc="1" locked="0" layoutInCell="1" allowOverlap="1" wp14:anchorId="1F296D97" wp14:editId="135DFFC4">
              <wp:simplePos x="0" y="0"/>
              <wp:positionH relativeFrom="page">
                <wp:align>left</wp:align>
              </wp:positionH>
              <wp:positionV relativeFrom="paragraph">
                <wp:posOffset>0</wp:posOffset>
              </wp:positionV>
              <wp:extent cx="7553325" cy="1028700"/>
              <wp:effectExtent l="0" t="0" r="952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1028700"/>
                      </a:xfrm>
                      <a:prstGeom prst="rect">
                        <a:avLst/>
                      </a:prstGeom>
                      <a:solidFill>
                        <a:srgbClr val="00B0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0FD4" id="Rectangle 2" o:spid="_x0000_s1026" alt="&quot;&quot;" style="position:absolute;margin-left:0;margin-top:0;width:594.75pt;height:8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" fillcolor="#00b0b9" stroked="f" strokeweight="1.5pt">
              <w10:wrap anchorx="page"/>
            </v:rect>
          </w:pict>
        </mc:Fallback>
      </mc:AlternateContent>
    </w:r>
    <w:r>
      <w:rPr>
        <w:noProof/>
      </w:rPr>
      <w:drawing>
        <wp:inline distT="0" distB="0" distL="0" distR="0" wp14:anchorId="1829C7BD" wp14:editId="15E066B8">
          <wp:extent cx="1466850" cy="1038301"/>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835" cy="10623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741A"/>
    <w:multiLevelType w:val="hybridMultilevel"/>
    <w:tmpl w:val="B330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499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43"/>
    <w:rsid w:val="000165FA"/>
    <w:rsid w:val="00027822"/>
    <w:rsid w:val="0003402E"/>
    <w:rsid w:val="000412BA"/>
    <w:rsid w:val="000460A7"/>
    <w:rsid w:val="0004678D"/>
    <w:rsid w:val="00065F85"/>
    <w:rsid w:val="0008A32D"/>
    <w:rsid w:val="000A0A04"/>
    <w:rsid w:val="000A2DF9"/>
    <w:rsid w:val="000A3DC9"/>
    <w:rsid w:val="000B6585"/>
    <w:rsid w:val="001009B3"/>
    <w:rsid w:val="0012497C"/>
    <w:rsid w:val="0014790C"/>
    <w:rsid w:val="00173193"/>
    <w:rsid w:val="001743E4"/>
    <w:rsid w:val="001B0182"/>
    <w:rsid w:val="001C3EA0"/>
    <w:rsid w:val="001F000D"/>
    <w:rsid w:val="001F4933"/>
    <w:rsid w:val="002071F9"/>
    <w:rsid w:val="00210344"/>
    <w:rsid w:val="00221882"/>
    <w:rsid w:val="0022248F"/>
    <w:rsid w:val="002260B1"/>
    <w:rsid w:val="002344C6"/>
    <w:rsid w:val="00240C6C"/>
    <w:rsid w:val="00246300"/>
    <w:rsid w:val="00250188"/>
    <w:rsid w:val="0025604F"/>
    <w:rsid w:val="0026592D"/>
    <w:rsid w:val="002A47C9"/>
    <w:rsid w:val="002B4D62"/>
    <w:rsid w:val="002C1C09"/>
    <w:rsid w:val="002C4072"/>
    <w:rsid w:val="002D233D"/>
    <w:rsid w:val="002D4312"/>
    <w:rsid w:val="002D62E0"/>
    <w:rsid w:val="002E1281"/>
    <w:rsid w:val="002E783F"/>
    <w:rsid w:val="00315DA1"/>
    <w:rsid w:val="00325174"/>
    <w:rsid w:val="003375A8"/>
    <w:rsid w:val="00341E11"/>
    <w:rsid w:val="0035212D"/>
    <w:rsid w:val="0036770F"/>
    <w:rsid w:val="003810C9"/>
    <w:rsid w:val="003A7694"/>
    <w:rsid w:val="003C3743"/>
    <w:rsid w:val="003E559B"/>
    <w:rsid w:val="003F138C"/>
    <w:rsid w:val="00402314"/>
    <w:rsid w:val="004447E3"/>
    <w:rsid w:val="004768DC"/>
    <w:rsid w:val="004819B3"/>
    <w:rsid w:val="004A59A0"/>
    <w:rsid w:val="004C4581"/>
    <w:rsid w:val="004C4D20"/>
    <w:rsid w:val="004C4FF8"/>
    <w:rsid w:val="004F4E84"/>
    <w:rsid w:val="00510EF5"/>
    <w:rsid w:val="00512B1C"/>
    <w:rsid w:val="00516523"/>
    <w:rsid w:val="00525E29"/>
    <w:rsid w:val="00525F59"/>
    <w:rsid w:val="00530367"/>
    <w:rsid w:val="00540C4D"/>
    <w:rsid w:val="00556535"/>
    <w:rsid w:val="0056102B"/>
    <w:rsid w:val="00567515"/>
    <w:rsid w:val="00586B12"/>
    <w:rsid w:val="00586DDF"/>
    <w:rsid w:val="005B471D"/>
    <w:rsid w:val="005D54BD"/>
    <w:rsid w:val="005F1074"/>
    <w:rsid w:val="006030DC"/>
    <w:rsid w:val="006248EC"/>
    <w:rsid w:val="00624AFC"/>
    <w:rsid w:val="00640020"/>
    <w:rsid w:val="00641A84"/>
    <w:rsid w:val="00654ECD"/>
    <w:rsid w:val="0066356D"/>
    <w:rsid w:val="00672C6F"/>
    <w:rsid w:val="00675152"/>
    <w:rsid w:val="006811CB"/>
    <w:rsid w:val="006B15E8"/>
    <w:rsid w:val="006B68EE"/>
    <w:rsid w:val="006C3854"/>
    <w:rsid w:val="006D14A0"/>
    <w:rsid w:val="006E4B0D"/>
    <w:rsid w:val="007227A4"/>
    <w:rsid w:val="007265ED"/>
    <w:rsid w:val="007448A1"/>
    <w:rsid w:val="00747B49"/>
    <w:rsid w:val="00753749"/>
    <w:rsid w:val="007930FC"/>
    <w:rsid w:val="00793567"/>
    <w:rsid w:val="007946E6"/>
    <w:rsid w:val="007A7402"/>
    <w:rsid w:val="007A7B7D"/>
    <w:rsid w:val="007B4E5E"/>
    <w:rsid w:val="007B5EDC"/>
    <w:rsid w:val="007D453F"/>
    <w:rsid w:val="007F6D70"/>
    <w:rsid w:val="00802956"/>
    <w:rsid w:val="00807D2B"/>
    <w:rsid w:val="008138DE"/>
    <w:rsid w:val="00820D9D"/>
    <w:rsid w:val="008607AE"/>
    <w:rsid w:val="008859A8"/>
    <w:rsid w:val="00887B67"/>
    <w:rsid w:val="00891EA7"/>
    <w:rsid w:val="008B1F8D"/>
    <w:rsid w:val="008B43DD"/>
    <w:rsid w:val="008B71B8"/>
    <w:rsid w:val="008C1257"/>
    <w:rsid w:val="008C66F1"/>
    <w:rsid w:val="008D5C89"/>
    <w:rsid w:val="009020D7"/>
    <w:rsid w:val="0092054C"/>
    <w:rsid w:val="00923D8D"/>
    <w:rsid w:val="00930256"/>
    <w:rsid w:val="00942F65"/>
    <w:rsid w:val="00947696"/>
    <w:rsid w:val="0097310D"/>
    <w:rsid w:val="0099388C"/>
    <w:rsid w:val="009A142D"/>
    <w:rsid w:val="009A142E"/>
    <w:rsid w:val="009B07CD"/>
    <w:rsid w:val="009D16A7"/>
    <w:rsid w:val="009E0914"/>
    <w:rsid w:val="00A10A21"/>
    <w:rsid w:val="00A13761"/>
    <w:rsid w:val="00A16DAD"/>
    <w:rsid w:val="00A2710E"/>
    <w:rsid w:val="00A34365"/>
    <w:rsid w:val="00A345DF"/>
    <w:rsid w:val="00A44B30"/>
    <w:rsid w:val="00A50319"/>
    <w:rsid w:val="00A57513"/>
    <w:rsid w:val="00A625AA"/>
    <w:rsid w:val="00A75AEE"/>
    <w:rsid w:val="00A91EB9"/>
    <w:rsid w:val="00A938DD"/>
    <w:rsid w:val="00AA415B"/>
    <w:rsid w:val="00AC0D27"/>
    <w:rsid w:val="00AC30E0"/>
    <w:rsid w:val="00AC4C64"/>
    <w:rsid w:val="00AF3572"/>
    <w:rsid w:val="00B02C0E"/>
    <w:rsid w:val="00B11341"/>
    <w:rsid w:val="00B11B11"/>
    <w:rsid w:val="00B232CB"/>
    <w:rsid w:val="00B4725E"/>
    <w:rsid w:val="00B60FB1"/>
    <w:rsid w:val="00B6532D"/>
    <w:rsid w:val="00B91C5E"/>
    <w:rsid w:val="00B93CAF"/>
    <w:rsid w:val="00BA42C1"/>
    <w:rsid w:val="00BB1AEF"/>
    <w:rsid w:val="00BB2F7F"/>
    <w:rsid w:val="00BB5B1E"/>
    <w:rsid w:val="00BC0D5F"/>
    <w:rsid w:val="00BC2184"/>
    <w:rsid w:val="00BF1ECE"/>
    <w:rsid w:val="00BF553C"/>
    <w:rsid w:val="00C1328B"/>
    <w:rsid w:val="00C160C0"/>
    <w:rsid w:val="00C16AD3"/>
    <w:rsid w:val="00C356EC"/>
    <w:rsid w:val="00C70259"/>
    <w:rsid w:val="00C72BAD"/>
    <w:rsid w:val="00CA7EEF"/>
    <w:rsid w:val="00CE0B15"/>
    <w:rsid w:val="00CF5300"/>
    <w:rsid w:val="00D01678"/>
    <w:rsid w:val="00D06722"/>
    <w:rsid w:val="00D1146C"/>
    <w:rsid w:val="00D20AEF"/>
    <w:rsid w:val="00D4114F"/>
    <w:rsid w:val="00D652EF"/>
    <w:rsid w:val="00D721CA"/>
    <w:rsid w:val="00D78D64"/>
    <w:rsid w:val="00D92AA2"/>
    <w:rsid w:val="00D979E0"/>
    <w:rsid w:val="00DA57C6"/>
    <w:rsid w:val="00DB4C7A"/>
    <w:rsid w:val="00DB52E9"/>
    <w:rsid w:val="00DC7C2F"/>
    <w:rsid w:val="00DD4878"/>
    <w:rsid w:val="00DF1F2C"/>
    <w:rsid w:val="00DF22F7"/>
    <w:rsid w:val="00E072AE"/>
    <w:rsid w:val="00E14A56"/>
    <w:rsid w:val="00E23B46"/>
    <w:rsid w:val="00E54104"/>
    <w:rsid w:val="00E60507"/>
    <w:rsid w:val="00E70C15"/>
    <w:rsid w:val="00E732A0"/>
    <w:rsid w:val="00EA11E8"/>
    <w:rsid w:val="00EB5094"/>
    <w:rsid w:val="00ED79ED"/>
    <w:rsid w:val="00F04D0A"/>
    <w:rsid w:val="00F14EC6"/>
    <w:rsid w:val="00F246D3"/>
    <w:rsid w:val="00F3169F"/>
    <w:rsid w:val="00F37B03"/>
    <w:rsid w:val="00F45C0F"/>
    <w:rsid w:val="00F56C9F"/>
    <w:rsid w:val="00F80944"/>
    <w:rsid w:val="00F96AAA"/>
    <w:rsid w:val="00FA25E4"/>
    <w:rsid w:val="00FD221B"/>
    <w:rsid w:val="00FD70F8"/>
    <w:rsid w:val="037E935C"/>
    <w:rsid w:val="06753046"/>
    <w:rsid w:val="07ACE193"/>
    <w:rsid w:val="0A0D4B80"/>
    <w:rsid w:val="0B50D702"/>
    <w:rsid w:val="0E06E74F"/>
    <w:rsid w:val="0E8CBE7C"/>
    <w:rsid w:val="0EC1A7A5"/>
    <w:rsid w:val="10634E04"/>
    <w:rsid w:val="10EA72A9"/>
    <w:rsid w:val="130A7CA6"/>
    <w:rsid w:val="13D65EDD"/>
    <w:rsid w:val="159A992E"/>
    <w:rsid w:val="185B67F2"/>
    <w:rsid w:val="187768A2"/>
    <w:rsid w:val="19D6FA8A"/>
    <w:rsid w:val="1B6FA603"/>
    <w:rsid w:val="1C8EF1CC"/>
    <w:rsid w:val="1D966E25"/>
    <w:rsid w:val="1F5FCC52"/>
    <w:rsid w:val="1F66FD9F"/>
    <w:rsid w:val="20112484"/>
    <w:rsid w:val="203A5693"/>
    <w:rsid w:val="204516A1"/>
    <w:rsid w:val="23D08991"/>
    <w:rsid w:val="271A168D"/>
    <w:rsid w:val="279257AC"/>
    <w:rsid w:val="28698A63"/>
    <w:rsid w:val="29825C6F"/>
    <w:rsid w:val="2C7492F7"/>
    <w:rsid w:val="2CC07277"/>
    <w:rsid w:val="2ED6727B"/>
    <w:rsid w:val="3264A67C"/>
    <w:rsid w:val="35418A36"/>
    <w:rsid w:val="360FBB85"/>
    <w:rsid w:val="36A54109"/>
    <w:rsid w:val="375B7ABC"/>
    <w:rsid w:val="3AD68F5B"/>
    <w:rsid w:val="3BAF2139"/>
    <w:rsid w:val="3F06311C"/>
    <w:rsid w:val="403A249B"/>
    <w:rsid w:val="405862E0"/>
    <w:rsid w:val="41EEB76A"/>
    <w:rsid w:val="4344EDA7"/>
    <w:rsid w:val="441966E4"/>
    <w:rsid w:val="46A16527"/>
    <w:rsid w:val="472E0EF5"/>
    <w:rsid w:val="479FB0FF"/>
    <w:rsid w:val="4CE390B5"/>
    <w:rsid w:val="4F7E333F"/>
    <w:rsid w:val="5000FB1A"/>
    <w:rsid w:val="55446FEF"/>
    <w:rsid w:val="560A92B5"/>
    <w:rsid w:val="56718B31"/>
    <w:rsid w:val="58B17F17"/>
    <w:rsid w:val="5A0EFA98"/>
    <w:rsid w:val="5C6AD1DC"/>
    <w:rsid w:val="5D443B8F"/>
    <w:rsid w:val="5D77D2FF"/>
    <w:rsid w:val="5EDA17D4"/>
    <w:rsid w:val="600965CC"/>
    <w:rsid w:val="60E5104C"/>
    <w:rsid w:val="62404EA5"/>
    <w:rsid w:val="63654326"/>
    <w:rsid w:val="643EDF6B"/>
    <w:rsid w:val="65FD7DF7"/>
    <w:rsid w:val="664BCCF3"/>
    <w:rsid w:val="668DFED9"/>
    <w:rsid w:val="68681883"/>
    <w:rsid w:val="6B961660"/>
    <w:rsid w:val="6C36A6CF"/>
    <w:rsid w:val="6D087112"/>
    <w:rsid w:val="6D8F4270"/>
    <w:rsid w:val="6E7FB334"/>
    <w:rsid w:val="736D16AF"/>
    <w:rsid w:val="740DF2E8"/>
    <w:rsid w:val="7669FF15"/>
    <w:rsid w:val="78F5C239"/>
    <w:rsid w:val="7A132C4D"/>
    <w:rsid w:val="7A784D6B"/>
    <w:rsid w:val="7B365F67"/>
    <w:rsid w:val="7BA46A63"/>
    <w:rsid w:val="7FE58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56A9"/>
  <w15:chartTrackingRefBased/>
  <w15:docId w15:val="{AA1CD5D5-0D1C-43F9-91C6-CDFEA99D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4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C3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3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3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743"/>
    <w:rPr>
      <w:rFonts w:eastAsiaTheme="majorEastAsia" w:cstheme="majorBidi"/>
      <w:color w:val="272727" w:themeColor="text1" w:themeTint="D8"/>
    </w:rPr>
  </w:style>
  <w:style w:type="paragraph" w:styleId="Title">
    <w:name w:val="Title"/>
    <w:basedOn w:val="Normal"/>
    <w:next w:val="Normal"/>
    <w:link w:val="TitleChar"/>
    <w:uiPriority w:val="10"/>
    <w:qFormat/>
    <w:rsid w:val="003C3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743"/>
    <w:pPr>
      <w:spacing w:before="160"/>
      <w:jc w:val="center"/>
    </w:pPr>
    <w:rPr>
      <w:i/>
      <w:iCs/>
      <w:color w:val="404040" w:themeColor="text1" w:themeTint="BF"/>
    </w:rPr>
  </w:style>
  <w:style w:type="character" w:customStyle="1" w:styleId="QuoteChar">
    <w:name w:val="Quote Char"/>
    <w:basedOn w:val="DefaultParagraphFont"/>
    <w:link w:val="Quote"/>
    <w:uiPriority w:val="29"/>
    <w:rsid w:val="003C3743"/>
    <w:rPr>
      <w:i/>
      <w:iCs/>
      <w:color w:val="404040" w:themeColor="text1" w:themeTint="BF"/>
    </w:rPr>
  </w:style>
  <w:style w:type="paragraph" w:styleId="ListParagraph">
    <w:name w:val="List Paragraph"/>
    <w:basedOn w:val="Normal"/>
    <w:uiPriority w:val="34"/>
    <w:qFormat/>
    <w:rsid w:val="003C3743"/>
    <w:pPr>
      <w:ind w:left="720"/>
      <w:contextualSpacing/>
    </w:pPr>
  </w:style>
  <w:style w:type="character" w:styleId="IntenseEmphasis">
    <w:name w:val="Intense Emphasis"/>
    <w:basedOn w:val="DefaultParagraphFont"/>
    <w:uiPriority w:val="21"/>
    <w:qFormat/>
    <w:rsid w:val="003C3743"/>
    <w:rPr>
      <w:i/>
      <w:iCs/>
      <w:color w:val="0F4761" w:themeColor="accent1" w:themeShade="BF"/>
    </w:rPr>
  </w:style>
  <w:style w:type="paragraph" w:styleId="IntenseQuote">
    <w:name w:val="Intense Quote"/>
    <w:basedOn w:val="Normal"/>
    <w:next w:val="Normal"/>
    <w:link w:val="IntenseQuoteChar"/>
    <w:uiPriority w:val="30"/>
    <w:qFormat/>
    <w:rsid w:val="003C3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743"/>
    <w:rPr>
      <w:i/>
      <w:iCs/>
      <w:color w:val="0F4761" w:themeColor="accent1" w:themeShade="BF"/>
    </w:rPr>
  </w:style>
  <w:style w:type="character" w:styleId="IntenseReference">
    <w:name w:val="Intense Reference"/>
    <w:basedOn w:val="DefaultParagraphFont"/>
    <w:uiPriority w:val="32"/>
    <w:qFormat/>
    <w:rsid w:val="003C3743"/>
    <w:rPr>
      <w:b/>
      <w:bCs/>
      <w:smallCaps/>
      <w:color w:val="0F4761" w:themeColor="accent1" w:themeShade="BF"/>
      <w:spacing w:val="5"/>
    </w:rPr>
  </w:style>
  <w:style w:type="paragraph" w:styleId="Header">
    <w:name w:val="header"/>
    <w:basedOn w:val="Normal"/>
    <w:link w:val="HeaderChar"/>
    <w:uiPriority w:val="99"/>
    <w:unhideWhenUsed/>
    <w:rsid w:val="003C3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743"/>
    <w:rPr>
      <w:kern w:val="0"/>
      <w:sz w:val="22"/>
      <w:szCs w:val="22"/>
      <w14:ligatures w14:val="none"/>
    </w:rPr>
  </w:style>
  <w:style w:type="paragraph" w:styleId="Footer">
    <w:name w:val="footer"/>
    <w:basedOn w:val="Normal"/>
    <w:link w:val="FooterChar"/>
    <w:uiPriority w:val="99"/>
    <w:unhideWhenUsed/>
    <w:rsid w:val="003C3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743"/>
    <w:rPr>
      <w:kern w:val="0"/>
      <w:sz w:val="22"/>
      <w:szCs w:val="22"/>
      <w14:ligatures w14:val="none"/>
    </w:rPr>
  </w:style>
  <w:style w:type="character" w:styleId="Hyperlink">
    <w:name w:val="Hyperlink"/>
    <w:basedOn w:val="DefaultParagraphFont"/>
    <w:uiPriority w:val="99"/>
    <w:unhideWhenUsed/>
    <w:rsid w:val="003C3743"/>
    <w:rPr>
      <w:color w:val="467886" w:themeColor="hyperlink"/>
      <w:u w:val="single"/>
    </w:rPr>
  </w:style>
  <w:style w:type="paragraph" w:styleId="CommentText">
    <w:name w:val="annotation text"/>
    <w:basedOn w:val="Normal"/>
    <w:link w:val="CommentTextChar"/>
    <w:uiPriority w:val="99"/>
    <w:unhideWhenUsed/>
    <w:rsid w:val="003C3743"/>
    <w:pPr>
      <w:spacing w:line="276" w:lineRule="auto"/>
    </w:pPr>
    <w:rPr>
      <w:rFonts w:ascii="Arial" w:eastAsia="Times New Roman" w:hAnsi="Arial" w:cs="Arial"/>
      <w:color w:val="404040" w:themeColor="text1" w:themeTint="BF"/>
      <w:sz w:val="20"/>
      <w:szCs w:val="20"/>
      <w:lang w:eastAsia="en-GB"/>
    </w:rPr>
  </w:style>
  <w:style w:type="character" w:customStyle="1" w:styleId="CommentTextChar">
    <w:name w:val="Comment Text Char"/>
    <w:basedOn w:val="DefaultParagraphFont"/>
    <w:link w:val="CommentText"/>
    <w:uiPriority w:val="99"/>
    <w:rsid w:val="003C3743"/>
    <w:rPr>
      <w:rFonts w:ascii="Arial" w:eastAsia="Times New Roman" w:hAnsi="Arial" w:cs="Arial"/>
      <w:color w:val="404040" w:themeColor="text1" w:themeTint="BF"/>
      <w:kern w:val="0"/>
      <w:sz w:val="20"/>
      <w:szCs w:val="20"/>
      <w:lang w:eastAsia="en-GB"/>
      <w14:ligatures w14:val="none"/>
    </w:rPr>
  </w:style>
  <w:style w:type="paragraph" w:styleId="Caption">
    <w:name w:val="caption"/>
    <w:basedOn w:val="Normal"/>
    <w:next w:val="Normal"/>
    <w:uiPriority w:val="35"/>
    <w:unhideWhenUsed/>
    <w:qFormat/>
    <w:rsid w:val="003C3743"/>
    <w:pPr>
      <w:spacing w:after="200" w:line="240" w:lineRule="auto"/>
    </w:pPr>
    <w:rPr>
      <w:i/>
      <w:iCs/>
      <w:color w:val="0E2841" w:themeColor="text2"/>
      <w:sz w:val="18"/>
      <w:szCs w:val="18"/>
    </w:rPr>
  </w:style>
  <w:style w:type="paragraph" w:styleId="Revision">
    <w:name w:val="Revision"/>
    <w:hidden/>
    <w:uiPriority w:val="99"/>
    <w:semiHidden/>
    <w:rsid w:val="00FD221B"/>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0A0A04"/>
    <w:rPr>
      <w:sz w:val="16"/>
      <w:szCs w:val="16"/>
    </w:rPr>
  </w:style>
  <w:style w:type="paragraph" w:styleId="CommentSubject">
    <w:name w:val="annotation subject"/>
    <w:basedOn w:val="CommentText"/>
    <w:next w:val="CommentText"/>
    <w:link w:val="CommentSubjectChar"/>
    <w:uiPriority w:val="99"/>
    <w:semiHidden/>
    <w:unhideWhenUsed/>
    <w:rsid w:val="000A0A04"/>
    <w:pPr>
      <w:spacing w:line="240" w:lineRule="auto"/>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A0A04"/>
    <w:rPr>
      <w:rFonts w:ascii="Arial" w:eastAsia="Times New Roman" w:hAnsi="Arial" w:cs="Arial"/>
      <w:b/>
      <w:bCs/>
      <w:color w:val="404040" w:themeColor="text1" w:themeTint="BF"/>
      <w:kern w:val="0"/>
      <w:sz w:val="20"/>
      <w:szCs w:val="20"/>
      <w:lang w:eastAsia="en-GB"/>
      <w14:ligatures w14:val="none"/>
    </w:rPr>
  </w:style>
  <w:style w:type="table" w:styleId="TableGrid">
    <w:name w:val="Table Grid"/>
    <w:basedOn w:val="TableNormal"/>
    <w:uiPriority w:val="39"/>
    <w:rsid w:val="0067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240C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4">
    <w:name w:val="Grid Table 4 Accent 4"/>
    <w:basedOn w:val="TableNormal"/>
    <w:uiPriority w:val="49"/>
    <w:rsid w:val="00240C6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us@mineland.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Props1.xml><?xml version="1.0" encoding="utf-8"?>
<ds:datastoreItem xmlns:ds="http://schemas.openxmlformats.org/officeDocument/2006/customXml" ds:itemID="{401F4C04-6BD5-4D69-B73C-7FA1BFE1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96C43-D7E2-43D4-80E3-AE0EC21AE750}">
  <ds:schemaRefs>
    <ds:schemaRef ds:uri="http://schemas.microsoft.com/sharepoint/events"/>
  </ds:schemaRefs>
</ds:datastoreItem>
</file>

<file path=customXml/itemProps3.xml><?xml version="1.0" encoding="utf-8"?>
<ds:datastoreItem xmlns:ds="http://schemas.openxmlformats.org/officeDocument/2006/customXml" ds:itemID="{DBC39A74-BA53-4DEE-91F8-F5A37B498877}">
  <ds:schemaRefs>
    <ds:schemaRef ds:uri="Microsoft.SharePoint.Taxonomy.ContentTypeSync"/>
  </ds:schemaRefs>
</ds:datastoreItem>
</file>

<file path=customXml/itemProps4.xml><?xml version="1.0" encoding="utf-8"?>
<ds:datastoreItem xmlns:ds="http://schemas.openxmlformats.org/officeDocument/2006/customXml" ds:itemID="{B2D85D4A-96B4-4E42-9C70-07D0FAFD7539}">
  <ds:schemaRefs>
    <ds:schemaRef ds:uri="http://schemas.microsoft.com/sharepoint/v3/contenttype/forms"/>
  </ds:schemaRefs>
</ds:datastoreItem>
</file>

<file path=customXml/itemProps5.xml><?xml version="1.0" encoding="utf-8"?>
<ds:datastoreItem xmlns:ds="http://schemas.openxmlformats.org/officeDocument/2006/customXml" ds:itemID="{2683F8B5-4071-4457-A7EF-2A72EFC0DF8C}">
  <ds:schemaRefs>
    <ds:schemaRef ds:uri="http://schemas.microsoft.com/office/2006/metadata/properties"/>
    <ds:schemaRef ds:uri="http://schemas.microsoft.com/office/infopath/2007/PartnerControls"/>
    <ds:schemaRef ds:uri="82e636bd-1ac8-4bd5-b55e-a283be4a2028"/>
    <ds:schemaRef ds:uri="6819d285-fbbf-44cc-9982-85efbfe1e4b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624</Words>
  <Characters>3615</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L Sivertsen (DEECA)</dc:creator>
  <cp:keywords/>
  <dc:description/>
  <cp:lastModifiedBy>Ruth J Fitzclarence (DEECA)</cp:lastModifiedBy>
  <cp:revision>14</cp:revision>
  <dcterms:created xsi:type="dcterms:W3CDTF">2026-01-18T22:46:00Z</dcterms:created>
  <dcterms:modified xsi:type="dcterms:W3CDTF">2026-01-18T23:13:00Z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7b619b89,299a2dd6,788f4485</vt:lpwstr>
  </property>
  <property fmtid="{D5CDD505-2E9C-101B-9397-08002B2CF9AE}" pid="3" name="ClassificationContentMarkingFooterFontProps">
    <vt:lpwstr>#000000,12,Aptos</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2025-11-14T00:05:49Z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cf4fd98a-4d3a-47f5-bded-39080e11c669</vt:lpwstr>
  </property>
  <property fmtid="{D5CDD505-2E9C-101B-9397-08002B2CF9AE}" pid="11" name="MSIP_Label_b92b7feb-b287-442c-a072-f385b02ec972_ContentBits">
    <vt:lpwstr>2</vt:lpwstr>
  </property>
  <property fmtid="{D5CDD505-2E9C-101B-9397-08002B2CF9AE}" pid="12" name="MSIP_Label_b92b7feb-b287-442c-a072-f385b02ec972_Tag">
    <vt:lpwstr>10, 0, 1, 1</vt:lpwstr>
  </property>
  <property fmtid="{D5CDD505-2E9C-101B-9397-08002B2CF9AE}" pid="13" name="ContentTypeId">
    <vt:lpwstr>0x01010081B07B0CDE7AB4458D304123F3427040</vt:lpwstr>
  </property>
  <property fmtid="{D5CDD505-2E9C-101B-9397-08002B2CF9AE}" pid="14" name="MediaServiceImageTags">
    <vt:lpwstr/>
  </property>
</Properties>
</file>