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D344C" w14:textId="260417F8" w:rsidR="00986C4B" w:rsidRDefault="00986C4B"/>
    <w:p w14:paraId="20088EBE" w14:textId="52112915" w:rsidR="0060113B" w:rsidRPr="003E17A3" w:rsidRDefault="00F602F9" w:rsidP="003E17A3">
      <w:pPr>
        <w:pStyle w:val="Heading1"/>
        <w:rPr>
          <w:rStyle w:val="normaltextrun"/>
        </w:rPr>
      </w:pPr>
      <w:r w:rsidRPr="003E17A3">
        <w:rPr>
          <w:rStyle w:val="normaltextrun"/>
        </w:rPr>
        <w:t>The Latrobe</w:t>
      </w:r>
      <w:r w:rsidR="004720A1" w:rsidRPr="003E17A3">
        <w:rPr>
          <w:rStyle w:val="normaltextrun"/>
        </w:rPr>
        <w:t xml:space="preserve"> Valley Regional Rehabilitation </w:t>
      </w:r>
      <w:bookmarkStart w:id="0" w:name="_Hlk209019543"/>
      <w:r w:rsidR="004720A1" w:rsidRPr="003E17A3">
        <w:rPr>
          <w:rStyle w:val="normaltextrun"/>
        </w:rPr>
        <w:t>Strategy</w:t>
      </w:r>
      <w:bookmarkEnd w:id="0"/>
    </w:p>
    <w:p w14:paraId="6F9B2AAC" w14:textId="3A13F48A" w:rsidR="004720A1" w:rsidRPr="004720A1" w:rsidRDefault="004720A1" w:rsidP="004720A1">
      <w:pPr>
        <w:pStyle w:val="paragraph"/>
        <w:ind w:right="45"/>
        <w:rPr>
          <w:rFonts w:ascii="Arial" w:hAnsi="Arial" w:cs="Arial"/>
          <w:color w:val="262626"/>
          <w:sz w:val="22"/>
          <w:szCs w:val="22"/>
        </w:rPr>
      </w:pPr>
      <w:r w:rsidRPr="004720A1">
        <w:rPr>
          <w:rFonts w:ascii="Arial" w:hAnsi="Arial" w:cs="Arial"/>
          <w:color w:val="262626"/>
          <w:sz w:val="22"/>
          <w:szCs w:val="22"/>
        </w:rPr>
        <w:t>The Latrobe Valley’s three declared mines must be rehabilitated to a state which is safe, stable, sustainable and suitable for proposed post-mining land uses. Rehabilitation is a complex, long-term process that presents both risks and opportunities.  </w:t>
      </w:r>
    </w:p>
    <w:p w14:paraId="2EC0FCA0" w14:textId="77777777" w:rsidR="004720A1" w:rsidRPr="004720A1" w:rsidRDefault="004720A1" w:rsidP="004720A1">
      <w:pPr>
        <w:pStyle w:val="paragraph"/>
        <w:ind w:right="45"/>
        <w:rPr>
          <w:rFonts w:ascii="Arial" w:hAnsi="Arial" w:cs="Arial"/>
          <w:color w:val="262626"/>
          <w:sz w:val="22"/>
          <w:szCs w:val="22"/>
        </w:rPr>
      </w:pPr>
      <w:r w:rsidRPr="004720A1">
        <w:rPr>
          <w:rFonts w:ascii="Arial" w:hAnsi="Arial" w:cs="Arial"/>
          <w:color w:val="262626"/>
          <w:sz w:val="22"/>
          <w:szCs w:val="22"/>
        </w:rPr>
        <w:t>This fact sheet explains the purpose of the Latrobe Valley Regional Rehabilitation Strategy (or the LVRRS) and its role in guiding rehabilitation planning across the region. The LVRRS provides policy direction and practical guidance for mine rehabilitation, which is expected to span several decades. </w:t>
      </w:r>
    </w:p>
    <w:p w14:paraId="3CA84E95" w14:textId="77777777" w:rsidR="004720A1" w:rsidRPr="004720A1" w:rsidRDefault="004720A1" w:rsidP="004720A1">
      <w:pPr>
        <w:pStyle w:val="paragraph"/>
        <w:ind w:right="45"/>
        <w:rPr>
          <w:rFonts w:ascii="Arial" w:hAnsi="Arial" w:cs="Arial"/>
          <w:color w:val="262626"/>
          <w:sz w:val="22"/>
          <w:szCs w:val="22"/>
        </w:rPr>
      </w:pPr>
      <w:r w:rsidRPr="004720A1">
        <w:rPr>
          <w:rFonts w:ascii="Arial" w:hAnsi="Arial" w:cs="Arial"/>
          <w:color w:val="262626"/>
          <w:sz w:val="22"/>
          <w:szCs w:val="22"/>
        </w:rPr>
        <w:t>It sets out a collaborative pathway for stakeholders to explore key issues with a clear view to ensuring the best possible outcomes for the region. </w:t>
      </w:r>
    </w:p>
    <w:p w14:paraId="6C74F8C9" w14:textId="78EA2BD6" w:rsidR="00541ED5" w:rsidRDefault="00C81CE8" w:rsidP="00110A06">
      <w:pPr>
        <w:pStyle w:val="Heading2"/>
        <w:rPr>
          <w:rFonts w:ascii="Segoe UI" w:hAnsi="Segoe UI" w:cs="Segoe UI"/>
          <w:color w:val="4472C4"/>
          <w:sz w:val="18"/>
          <w:szCs w:val="18"/>
        </w:rPr>
      </w:pPr>
      <w:r>
        <w:rPr>
          <w:rStyle w:val="normaltextrun"/>
          <w:color w:val="4472C4" w:themeColor="accent1"/>
          <w:sz w:val="28"/>
          <w:szCs w:val="28"/>
        </w:rPr>
        <w:t xml:space="preserve">The </w:t>
      </w:r>
      <w:bookmarkStart w:id="1" w:name="_Hlk209020134"/>
      <w:r>
        <w:rPr>
          <w:rStyle w:val="normaltextrun"/>
          <w:color w:val="4472C4" w:themeColor="accent1"/>
          <w:sz w:val="28"/>
          <w:szCs w:val="28"/>
        </w:rPr>
        <w:t xml:space="preserve">requirement for the </w:t>
      </w:r>
      <w:bookmarkStart w:id="2" w:name="_Hlk209020174"/>
      <w:bookmarkEnd w:id="1"/>
      <w:r>
        <w:rPr>
          <w:rStyle w:val="normaltextrun"/>
          <w:color w:val="4472C4" w:themeColor="accent1"/>
          <w:sz w:val="28"/>
          <w:szCs w:val="28"/>
        </w:rPr>
        <w:t>LVRRS</w:t>
      </w:r>
      <w:bookmarkEnd w:id="2"/>
    </w:p>
    <w:p w14:paraId="7EB1BF9A" w14:textId="6E3759E1" w:rsidR="0060113B" w:rsidRDefault="00B11965" w:rsidP="0060113B">
      <w:pPr>
        <w:pStyle w:val="paragraph"/>
        <w:spacing w:before="0" w:beforeAutospacing="0" w:after="0" w:afterAutospacing="0"/>
        <w:ind w:right="45"/>
        <w:textAlignment w:val="baseline"/>
        <w:rPr>
          <w:rFonts w:ascii="Arial" w:hAnsi="Arial" w:cs="Arial"/>
          <w:color w:val="262626"/>
          <w:sz w:val="22"/>
          <w:szCs w:val="22"/>
        </w:rPr>
      </w:pPr>
      <w:r w:rsidRPr="00B11965">
        <w:rPr>
          <w:rFonts w:ascii="Arial" w:hAnsi="Arial" w:cs="Arial"/>
          <w:color w:val="262626"/>
          <w:sz w:val="22"/>
          <w:szCs w:val="22"/>
        </w:rPr>
        <w:t>In response to the Hazelwood Mine Fire Inquiry (HMFI) findings, the Government released a detailed implementation plan that included a commitment to develop a regional rehabilitation strategy for the Latrobe Valley’s three brown coal mines. The goal was to develop a strategy that would guide rehabilitation planning at a regional level, considering the interconnectivity between the Latrobe Valley mines (Figure 1). </w:t>
      </w:r>
    </w:p>
    <w:p w14:paraId="7A104F58" w14:textId="77777777" w:rsidR="001608FA" w:rsidRDefault="001608FA" w:rsidP="0060113B">
      <w:pPr>
        <w:pStyle w:val="paragraph"/>
        <w:spacing w:before="0" w:beforeAutospacing="0" w:after="0" w:afterAutospacing="0"/>
        <w:ind w:right="45"/>
        <w:textAlignment w:val="baseline"/>
        <w:rPr>
          <w:rFonts w:ascii="Arial" w:hAnsi="Arial" w:cs="Arial"/>
          <w:color w:val="262626"/>
          <w:sz w:val="22"/>
          <w:szCs w:val="22"/>
        </w:rPr>
      </w:pPr>
    </w:p>
    <w:p w14:paraId="2A2B1179" w14:textId="22236D47" w:rsidR="001608FA" w:rsidRDefault="001608FA" w:rsidP="0060113B">
      <w:pPr>
        <w:pStyle w:val="paragraph"/>
        <w:spacing w:before="0" w:beforeAutospacing="0" w:after="0" w:afterAutospacing="0"/>
        <w:ind w:right="45"/>
        <w:textAlignment w:val="baseline"/>
        <w:rPr>
          <w:rFonts w:ascii="Segoe UI" w:hAnsi="Segoe UI" w:cs="Segoe UI"/>
          <w:color w:val="5B9BD5"/>
          <w:sz w:val="18"/>
          <w:szCs w:val="18"/>
        </w:rPr>
      </w:pPr>
      <w:r>
        <w:rPr>
          <w:rFonts w:ascii="Segoe UI" w:hAnsi="Segoe UI" w:cs="Segoe UI"/>
          <w:noProof/>
          <w:color w:val="5B9BD5"/>
          <w:sz w:val="18"/>
          <w:szCs w:val="18"/>
        </w:rPr>
        <w:drawing>
          <wp:inline distT="0" distB="0" distL="0" distR="0" wp14:anchorId="44240F5D" wp14:editId="502B9A6B">
            <wp:extent cx="5731510" cy="3815080"/>
            <wp:effectExtent l="0" t="0" r="2540" b="0"/>
            <wp:docPr id="437004419" name="Picture 1" descr="Image of a map of Latrobe Valley min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04419" name="Picture 1" descr="Image of a map of Latrobe Valley mine sit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50B1E008" w14:textId="50DDC961" w:rsidR="00AA75BE" w:rsidRDefault="00AA75BE" w:rsidP="00AA75BE">
      <w:pPr>
        <w:pStyle w:val="CommentText"/>
        <w:keepNext/>
        <w:ind w:right="-541"/>
        <w:jc w:val="center"/>
      </w:pPr>
    </w:p>
    <w:p w14:paraId="355C8410" w14:textId="53AAEACD" w:rsidR="00F91492" w:rsidRDefault="0066532F" w:rsidP="00F91492">
      <w:r w:rsidRPr="0066532F">
        <w:rPr>
          <w:rStyle w:val="normaltextrun"/>
          <w:rFonts w:ascii="Calibri" w:hAnsi="Calibri" w:cs="Calibri"/>
          <w:i/>
          <w:iCs/>
          <w:color w:val="44546A"/>
          <w:sz w:val="18"/>
          <w:szCs w:val="18"/>
          <w:shd w:val="clear" w:color="auto" w:fill="FFFFFF"/>
        </w:rPr>
        <w:t xml:space="preserve">Figure 1 the three Latrobe Valley mines are in close proximity to communities, waterways, infrastructure and each other. Mine licenses (grey) indicate the large areas mine owners are responsible to rehabilitate  </w:t>
      </w:r>
    </w:p>
    <w:p w14:paraId="5DE93AB5" w14:textId="77777777" w:rsidR="00A2554C" w:rsidRDefault="00A2554C" w:rsidP="00C71412">
      <w:pPr>
        <w:pStyle w:val="paragraph"/>
        <w:spacing w:before="0" w:beforeAutospacing="0" w:after="0" w:afterAutospacing="0"/>
        <w:textAlignment w:val="baseline"/>
        <w:rPr>
          <w:rStyle w:val="normaltextrun"/>
          <w:rFonts w:ascii="Arial" w:hAnsi="Arial" w:cs="Arial"/>
          <w:sz w:val="22"/>
          <w:szCs w:val="22"/>
        </w:rPr>
      </w:pPr>
    </w:p>
    <w:p w14:paraId="1DBA07EA" w14:textId="588F7E21" w:rsidR="00A2554C" w:rsidRPr="00022266" w:rsidRDefault="001F4372" w:rsidP="00A2554C">
      <w:pPr>
        <w:pStyle w:val="Heading2"/>
        <w:rPr>
          <w:rStyle w:val="normaltextrun"/>
          <w:color w:val="2E74B5" w:themeColor="accent5" w:themeShade="BF"/>
          <w:sz w:val="28"/>
          <w:szCs w:val="28"/>
        </w:rPr>
      </w:pPr>
      <w:bookmarkStart w:id="3" w:name="_Hlk209020286"/>
      <w:r w:rsidRPr="00022266">
        <w:rPr>
          <w:rStyle w:val="normaltextrun"/>
          <w:color w:val="2E74B5" w:themeColor="accent5" w:themeShade="BF"/>
          <w:sz w:val="28"/>
          <w:szCs w:val="28"/>
        </w:rPr>
        <w:lastRenderedPageBreak/>
        <w:t xml:space="preserve">The scope of the </w:t>
      </w:r>
      <w:r w:rsidR="00A2554C" w:rsidRPr="00022266">
        <w:rPr>
          <w:rStyle w:val="normaltextrun"/>
          <w:color w:val="2E74B5" w:themeColor="accent5" w:themeShade="BF"/>
          <w:sz w:val="28"/>
          <w:szCs w:val="28"/>
        </w:rPr>
        <w:t>LVRRS</w:t>
      </w:r>
    </w:p>
    <w:bookmarkEnd w:id="3"/>
    <w:p w14:paraId="451517A7" w14:textId="198EF13A" w:rsidR="00C71412" w:rsidRDefault="005F54A2" w:rsidP="00C71412">
      <w:pPr>
        <w:pStyle w:val="paragraph"/>
        <w:spacing w:before="0" w:beforeAutospacing="0" w:after="0" w:afterAutospacing="0"/>
        <w:textAlignment w:val="baseline"/>
        <w:rPr>
          <w:rFonts w:ascii="Arial" w:hAnsi="Arial" w:cs="Arial"/>
          <w:sz w:val="22"/>
          <w:szCs w:val="22"/>
        </w:rPr>
      </w:pPr>
      <w:r w:rsidRPr="005F54A2">
        <w:rPr>
          <w:rFonts w:ascii="Arial" w:hAnsi="Arial" w:cs="Arial"/>
          <w:sz w:val="22"/>
          <w:szCs w:val="22"/>
        </w:rPr>
        <w:t>The LVRRS provides foundational policy, principles and actions to guide rehabilitation planning for the Latrobe Valley coal mines over many decades. The LVRRS provides a framework for regulatory oversight, water access planning and long-term monitoring, and is underpinned by regional geotechnical and water studies.   </w:t>
      </w:r>
    </w:p>
    <w:p w14:paraId="7ED0277B" w14:textId="77777777" w:rsidR="007E06E1" w:rsidRDefault="007E06E1" w:rsidP="00C71412">
      <w:pPr>
        <w:pStyle w:val="paragraph"/>
        <w:spacing w:before="0" w:beforeAutospacing="0" w:after="0" w:afterAutospacing="0"/>
        <w:textAlignment w:val="baseline"/>
        <w:rPr>
          <w:rStyle w:val="eop"/>
          <w:sz w:val="22"/>
          <w:szCs w:val="22"/>
        </w:rPr>
      </w:pPr>
    </w:p>
    <w:p w14:paraId="7A75E23D" w14:textId="77777777" w:rsidR="000760E2" w:rsidRDefault="000760E2" w:rsidP="00C71412">
      <w:pPr>
        <w:pStyle w:val="paragraph"/>
        <w:spacing w:before="0" w:beforeAutospacing="0" w:after="0" w:afterAutospacing="0"/>
        <w:textAlignment w:val="baseline"/>
        <w:rPr>
          <w:rFonts w:ascii="Segoe UI" w:hAnsi="Segoe UI" w:cs="Segoe UI"/>
          <w:sz w:val="18"/>
          <w:szCs w:val="18"/>
        </w:rPr>
      </w:pPr>
    </w:p>
    <w:p w14:paraId="14773376" w14:textId="1F45987F" w:rsidR="005F54A2" w:rsidRPr="00022266" w:rsidRDefault="008C32B4" w:rsidP="005F54A2">
      <w:pPr>
        <w:pStyle w:val="Heading2"/>
        <w:rPr>
          <w:rStyle w:val="normaltextrun"/>
          <w:color w:val="2E74B5" w:themeColor="accent5" w:themeShade="BF"/>
          <w:sz w:val="28"/>
          <w:szCs w:val="28"/>
        </w:rPr>
      </w:pPr>
      <w:r w:rsidRPr="00022266">
        <w:rPr>
          <w:rStyle w:val="normaltextrun"/>
          <w:color w:val="2E74B5" w:themeColor="accent5" w:themeShade="BF"/>
          <w:sz w:val="28"/>
          <w:szCs w:val="28"/>
        </w:rPr>
        <w:t>Release of a regional strategy</w:t>
      </w:r>
    </w:p>
    <w:p w14:paraId="49E181CC" w14:textId="38FB072D" w:rsidR="008C32B4" w:rsidRPr="008C32B4" w:rsidRDefault="008C32B4" w:rsidP="008C32B4">
      <w:pPr>
        <w:pStyle w:val="paragraph"/>
        <w:rPr>
          <w:rFonts w:ascii="Arial" w:hAnsi="Arial" w:cs="Arial"/>
        </w:rPr>
      </w:pPr>
      <w:r w:rsidRPr="008C32B4">
        <w:rPr>
          <w:rFonts w:ascii="Arial" w:hAnsi="Arial" w:cs="Arial"/>
        </w:rPr>
        <w:t xml:space="preserve">The </w:t>
      </w:r>
      <w:hyperlink r:id="rId14" w:tgtFrame="_blank" w:history="1">
        <w:r w:rsidRPr="008C32B4">
          <w:rPr>
            <w:rStyle w:val="Hyperlink"/>
            <w:rFonts w:ascii="Arial" w:hAnsi="Arial" w:cs="Arial"/>
          </w:rPr>
          <w:t>LVRRS</w:t>
        </w:r>
      </w:hyperlink>
      <w:r w:rsidRPr="008C32B4">
        <w:rPr>
          <w:rFonts w:ascii="Arial" w:hAnsi="Arial" w:cs="Arial"/>
        </w:rPr>
        <w:t xml:space="preserve"> was published in June 2020 and addresses three key aspects outlined in the ​</w:t>
      </w:r>
      <w:r w:rsidRPr="008C32B4">
        <w:rPr>
          <w:rFonts w:ascii="Arial" w:hAnsi="Arial" w:cs="Arial"/>
          <w:i/>
          <w:iCs/>
        </w:rPr>
        <w:t>Mineral Resources (Sustainable Development) Act</w:t>
      </w:r>
      <w:r w:rsidRPr="008C32B4">
        <w:rPr>
          <w:rFonts w:ascii="Arial" w:hAnsi="Arial" w:cs="Arial"/>
        </w:rPr>
        <w:t>​: </w:t>
      </w:r>
    </w:p>
    <w:p w14:paraId="6B3D5D8D" w14:textId="77777777" w:rsidR="008C32B4" w:rsidRPr="008C32B4" w:rsidRDefault="008C32B4" w:rsidP="008C32B4">
      <w:pPr>
        <w:pStyle w:val="paragraph"/>
        <w:numPr>
          <w:ilvl w:val="0"/>
          <w:numId w:val="8"/>
        </w:numPr>
        <w:rPr>
          <w:rFonts w:ascii="Arial" w:hAnsi="Arial" w:cs="Arial"/>
        </w:rPr>
      </w:pPr>
      <w:r w:rsidRPr="008C32B4">
        <w:rPr>
          <w:rFonts w:ascii="Arial" w:hAnsi="Arial" w:cs="Arial"/>
        </w:rPr>
        <w:t>the safety, stability and sustainability of coal mine land and any adjacent land </w:t>
      </w:r>
    </w:p>
    <w:p w14:paraId="2C3AE063" w14:textId="77777777" w:rsidR="008C32B4" w:rsidRPr="008C32B4" w:rsidRDefault="008C32B4" w:rsidP="008C32B4">
      <w:pPr>
        <w:pStyle w:val="paragraph"/>
        <w:numPr>
          <w:ilvl w:val="0"/>
          <w:numId w:val="9"/>
        </w:numPr>
        <w:rPr>
          <w:rFonts w:ascii="Arial" w:hAnsi="Arial" w:cs="Arial"/>
        </w:rPr>
      </w:pPr>
      <w:r w:rsidRPr="008C32B4">
        <w:rPr>
          <w:rFonts w:ascii="Arial" w:hAnsi="Arial" w:cs="Arial"/>
        </w:rPr>
        <w:t>the planning for the Latrobe Valley region in relation to the rehabilitation of coal mine land and any adjacent land, and the relationships between each mine void </w:t>
      </w:r>
    </w:p>
    <w:p w14:paraId="69BEFAAC" w14:textId="77777777" w:rsidR="008C32B4" w:rsidRPr="008C32B4" w:rsidRDefault="008C32B4" w:rsidP="008C32B4">
      <w:pPr>
        <w:pStyle w:val="paragraph"/>
        <w:numPr>
          <w:ilvl w:val="0"/>
          <w:numId w:val="10"/>
        </w:numPr>
        <w:rPr>
          <w:rFonts w:ascii="Arial" w:hAnsi="Arial" w:cs="Arial"/>
        </w:rPr>
      </w:pPr>
      <w:r w:rsidRPr="008C32B4">
        <w:rPr>
          <w:rFonts w:ascii="Arial" w:hAnsi="Arial" w:cs="Arial"/>
        </w:rPr>
        <w:t>the development of a plan for the monitoring and evaluation of coal mine land after rehabilitation of that land is complete. </w:t>
      </w:r>
    </w:p>
    <w:p w14:paraId="5EA387FA" w14:textId="77777777" w:rsidR="008C32B4" w:rsidRPr="008C32B4" w:rsidRDefault="008C32B4" w:rsidP="008C32B4">
      <w:pPr>
        <w:pStyle w:val="paragraph"/>
        <w:rPr>
          <w:rFonts w:ascii="Arial" w:hAnsi="Arial" w:cs="Arial"/>
        </w:rPr>
      </w:pPr>
      <w:r w:rsidRPr="008C32B4">
        <w:rPr>
          <w:rFonts w:ascii="Arial" w:hAnsi="Arial" w:cs="Arial"/>
        </w:rPr>
        <w:t>The LVRRS provides a Vision to guide the mine licensees in rehabilitation planning, with six Rehabilitation Outcomes to support delivery of the Vision (Figure 2).  </w:t>
      </w:r>
    </w:p>
    <w:p w14:paraId="0D7C351F" w14:textId="42A46673" w:rsidR="00C71412" w:rsidRDefault="00C71412" w:rsidP="008C32B4">
      <w:pPr>
        <w:pStyle w:val="paragraph"/>
        <w:spacing w:before="0" w:beforeAutospacing="0" w:after="0" w:afterAutospacing="0"/>
        <w:textAlignment w:val="baseline"/>
        <w:rPr>
          <w:rStyle w:val="normaltextrun"/>
          <w:rFonts w:ascii="Arial" w:hAnsi="Arial" w:cs="Arial"/>
          <w:sz w:val="22"/>
          <w:szCs w:val="22"/>
        </w:rPr>
      </w:pPr>
    </w:p>
    <w:p w14:paraId="03C821B7" w14:textId="5D3E0AAB" w:rsidR="00D0612C" w:rsidRDefault="004B1BD6" w:rsidP="00C71412">
      <w:pPr>
        <w:pStyle w:val="paragraph"/>
        <w:spacing w:before="0" w:beforeAutospacing="0" w:after="0" w:afterAutospacing="0"/>
        <w:textAlignment w:val="baseline"/>
        <w:rPr>
          <w:rStyle w:val="normaltextrun"/>
          <w:rFonts w:ascii="Arial" w:hAnsi="Arial" w:cs="Arial"/>
          <w:sz w:val="22"/>
          <w:szCs w:val="22"/>
        </w:rPr>
      </w:pPr>
      <w:r>
        <w:rPr>
          <w:noProof/>
        </w:rPr>
        <w:drawing>
          <wp:inline distT="0" distB="0" distL="0" distR="0" wp14:anchorId="302C19F0" wp14:editId="70EF2BC9">
            <wp:extent cx="5731510" cy="1732782"/>
            <wp:effectExtent l="0" t="0" r="2540" b="1270"/>
            <wp:docPr id="965164458" name="Picture 1" descr="A close-up of a blue and whi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blue and white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2782"/>
                    </a:xfrm>
                    <a:prstGeom prst="rect">
                      <a:avLst/>
                    </a:prstGeom>
                    <a:noFill/>
                    <a:ln>
                      <a:noFill/>
                    </a:ln>
                  </pic:spPr>
                </pic:pic>
              </a:graphicData>
            </a:graphic>
          </wp:inline>
        </w:drawing>
      </w:r>
    </w:p>
    <w:p w14:paraId="3D37FCDE" w14:textId="77777777" w:rsidR="00D0612C" w:rsidRDefault="00D0612C" w:rsidP="00C71412">
      <w:pPr>
        <w:pStyle w:val="paragraph"/>
        <w:spacing w:before="0" w:beforeAutospacing="0" w:after="0" w:afterAutospacing="0"/>
        <w:textAlignment w:val="baseline"/>
        <w:rPr>
          <w:rStyle w:val="normaltextrun"/>
          <w:rFonts w:ascii="Arial" w:hAnsi="Arial" w:cs="Arial"/>
          <w:sz w:val="22"/>
          <w:szCs w:val="22"/>
        </w:rPr>
      </w:pPr>
    </w:p>
    <w:p w14:paraId="3CA5F6F9" w14:textId="59BDBF80" w:rsidR="00D0612C" w:rsidRDefault="004B1BD6" w:rsidP="00C71412">
      <w:pPr>
        <w:pStyle w:val="paragraph"/>
        <w:spacing w:before="0" w:beforeAutospacing="0" w:after="0" w:afterAutospacing="0"/>
        <w:textAlignment w:val="baseline"/>
        <w:rPr>
          <w:rStyle w:val="normaltextrun"/>
          <w:rFonts w:ascii="Arial" w:hAnsi="Arial" w:cs="Arial"/>
          <w:sz w:val="22"/>
          <w:szCs w:val="22"/>
        </w:rPr>
      </w:pPr>
      <w:r w:rsidRPr="004B1BD6">
        <w:rPr>
          <w:rStyle w:val="normaltextrun"/>
          <w:rFonts w:ascii="Calibri" w:hAnsi="Calibri" w:cs="Calibri"/>
          <w:i/>
          <w:iCs/>
          <w:color w:val="44546A"/>
          <w:sz w:val="18"/>
          <w:szCs w:val="18"/>
          <w:shd w:val="clear" w:color="auto" w:fill="FFFFFF"/>
        </w:rPr>
        <w:t xml:space="preserve">Figure 2 the LVRRS Vision is supported by six Regional Mine Rehabilitation Outcomes  </w:t>
      </w:r>
    </w:p>
    <w:p w14:paraId="1AD61BAD" w14:textId="77777777" w:rsidR="00D0612C" w:rsidRDefault="00D0612C" w:rsidP="00C71412">
      <w:pPr>
        <w:pStyle w:val="paragraph"/>
        <w:spacing w:before="0" w:beforeAutospacing="0" w:after="0" w:afterAutospacing="0"/>
        <w:textAlignment w:val="baseline"/>
        <w:rPr>
          <w:rFonts w:ascii="Segoe UI" w:hAnsi="Segoe UI" w:cs="Segoe UI"/>
          <w:sz w:val="18"/>
          <w:szCs w:val="18"/>
        </w:rPr>
      </w:pPr>
    </w:p>
    <w:p w14:paraId="1E0456C8" w14:textId="77777777" w:rsidR="0053726A" w:rsidRDefault="0053726A" w:rsidP="000452DC">
      <w:pPr>
        <w:pStyle w:val="paragraph"/>
        <w:spacing w:before="0" w:beforeAutospacing="0" w:after="0" w:afterAutospacing="0"/>
        <w:ind w:right="45"/>
        <w:textAlignment w:val="baseline"/>
        <w:rPr>
          <w:rFonts w:ascii="Segoe UI" w:hAnsi="Segoe UI" w:cs="Segoe UI"/>
          <w:color w:val="5B9BD5"/>
          <w:sz w:val="18"/>
          <w:szCs w:val="18"/>
        </w:rPr>
      </w:pPr>
    </w:p>
    <w:p w14:paraId="12BF821C" w14:textId="77777777" w:rsidR="00D876C5" w:rsidRDefault="00D876C5" w:rsidP="000452DC">
      <w:pPr>
        <w:pStyle w:val="paragraph"/>
        <w:spacing w:before="0" w:beforeAutospacing="0" w:after="0" w:afterAutospacing="0"/>
        <w:textAlignment w:val="baseline"/>
        <w:rPr>
          <w:rFonts w:ascii="Arial" w:hAnsi="Arial" w:cs="Arial"/>
          <w:sz w:val="22"/>
          <w:szCs w:val="22"/>
        </w:rPr>
      </w:pPr>
      <w:r w:rsidRPr="00D876C5">
        <w:rPr>
          <w:rFonts w:ascii="Arial" w:hAnsi="Arial" w:cs="Arial"/>
          <w:sz w:val="22"/>
          <w:szCs w:val="22"/>
        </w:rPr>
        <w:t xml:space="preserve">The Outcomes are supported by eight Implementation Principles (Figure 3), to guide planning for the rehabilitation of the Latrobe Valley coal mines and adjacent land within a regional context. The </w:t>
      </w:r>
      <w:hyperlink r:id="rId16" w:tgtFrame="_blank" w:history="1">
        <w:r w:rsidRPr="00D876C5">
          <w:rPr>
            <w:rStyle w:val="Hyperlink"/>
            <w:rFonts w:ascii="Arial" w:hAnsi="Arial" w:cs="Arial"/>
            <w:sz w:val="22"/>
            <w:szCs w:val="22"/>
          </w:rPr>
          <w:t>LVRRS website</w:t>
        </w:r>
      </w:hyperlink>
      <w:r w:rsidRPr="00D876C5">
        <w:rPr>
          <w:rFonts w:ascii="Arial" w:hAnsi="Arial" w:cs="Arial"/>
          <w:sz w:val="22"/>
          <w:szCs w:val="22"/>
        </w:rPr>
        <w:t xml:space="preserve"> provides resources, including studies that help assure these Principles</w:t>
      </w:r>
      <w:r>
        <w:rPr>
          <w:rFonts w:ascii="Arial" w:hAnsi="Arial" w:cs="Arial"/>
          <w:sz w:val="22"/>
          <w:szCs w:val="22"/>
        </w:rPr>
        <w:t>.</w:t>
      </w:r>
    </w:p>
    <w:p w14:paraId="0B2DDA06"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3BC451EF"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023CD835"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583AF83A"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7CACCD43"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44F4606B" w14:textId="77777777" w:rsidR="00D876C5" w:rsidRDefault="00D876C5" w:rsidP="000452DC">
      <w:pPr>
        <w:pStyle w:val="paragraph"/>
        <w:spacing w:before="0" w:beforeAutospacing="0" w:after="0" w:afterAutospacing="0"/>
        <w:textAlignment w:val="baseline"/>
        <w:rPr>
          <w:rFonts w:ascii="Arial" w:hAnsi="Arial" w:cs="Arial"/>
          <w:sz w:val="22"/>
          <w:szCs w:val="22"/>
        </w:rPr>
      </w:pPr>
    </w:p>
    <w:p w14:paraId="252135F2" w14:textId="77777777" w:rsidR="00A74809" w:rsidRDefault="00A74809" w:rsidP="000452DC">
      <w:pPr>
        <w:pStyle w:val="paragraph"/>
        <w:spacing w:before="0" w:beforeAutospacing="0" w:after="0" w:afterAutospacing="0"/>
        <w:textAlignment w:val="baseline"/>
        <w:rPr>
          <w:rFonts w:ascii="Arial" w:hAnsi="Arial" w:cs="Arial"/>
          <w:sz w:val="22"/>
          <w:szCs w:val="22"/>
        </w:rPr>
      </w:pPr>
    </w:p>
    <w:p w14:paraId="76D1855A" w14:textId="77777777" w:rsidR="00A74809" w:rsidRDefault="00A74809" w:rsidP="000452DC">
      <w:pPr>
        <w:pStyle w:val="paragraph"/>
        <w:spacing w:before="0" w:beforeAutospacing="0" w:after="0" w:afterAutospacing="0"/>
        <w:textAlignment w:val="baseline"/>
        <w:rPr>
          <w:rFonts w:ascii="Arial" w:hAnsi="Arial" w:cs="Arial"/>
          <w:sz w:val="22"/>
          <w:szCs w:val="22"/>
        </w:rPr>
      </w:pPr>
    </w:p>
    <w:p w14:paraId="13C106B8" w14:textId="6FC230DE" w:rsidR="00A74809" w:rsidRDefault="008E5C76" w:rsidP="000452DC">
      <w:pPr>
        <w:pStyle w:val="paragraph"/>
        <w:spacing w:before="0" w:beforeAutospacing="0" w:after="0" w:afterAutospacing="0"/>
        <w:textAlignment w:val="baseline"/>
        <w:rPr>
          <w:rFonts w:ascii="Arial" w:hAnsi="Arial" w:cs="Arial"/>
          <w:sz w:val="22"/>
          <w:szCs w:val="22"/>
        </w:rPr>
      </w:pPr>
      <w:r>
        <w:rPr>
          <w:noProof/>
        </w:rPr>
        <w:lastRenderedPageBreak/>
        <w:drawing>
          <wp:inline distT="0" distB="0" distL="0" distR="0" wp14:anchorId="07D9B228" wp14:editId="15BCE5A5">
            <wp:extent cx="5731510" cy="2780068"/>
            <wp:effectExtent l="0" t="0" r="2540" b="1270"/>
            <wp:docPr id="18951634" name="Picture 3" descr="A diagram of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634" name="Picture 3" descr="A diagram of a flow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80068"/>
                    </a:xfrm>
                    <a:prstGeom prst="rect">
                      <a:avLst/>
                    </a:prstGeom>
                    <a:noFill/>
                    <a:ln>
                      <a:noFill/>
                    </a:ln>
                  </pic:spPr>
                </pic:pic>
              </a:graphicData>
            </a:graphic>
          </wp:inline>
        </w:drawing>
      </w:r>
    </w:p>
    <w:p w14:paraId="5DE34EBF" w14:textId="6CBA3849" w:rsidR="008E5C76" w:rsidRDefault="008E5C76" w:rsidP="000452DC">
      <w:pPr>
        <w:pStyle w:val="paragraph"/>
        <w:spacing w:before="0" w:beforeAutospacing="0" w:after="0" w:afterAutospacing="0"/>
        <w:textAlignment w:val="baseline"/>
        <w:rPr>
          <w:rStyle w:val="eop"/>
          <w:rFonts w:ascii="Aptos" w:hAnsi="Aptos"/>
          <w:i/>
          <w:iCs/>
          <w:color w:val="0E2841"/>
          <w:sz w:val="18"/>
          <w:szCs w:val="18"/>
          <w:shd w:val="clear" w:color="auto" w:fill="FFFFFF"/>
        </w:rPr>
      </w:pPr>
      <w:r>
        <w:rPr>
          <w:rStyle w:val="normaltextrun"/>
          <w:rFonts w:ascii="Aptos" w:hAnsi="Aptos"/>
          <w:i/>
          <w:iCs/>
          <w:color w:val="0E2841"/>
          <w:sz w:val="18"/>
          <w:szCs w:val="18"/>
          <w:shd w:val="clear" w:color="auto" w:fill="FFFFFF"/>
        </w:rPr>
        <w:t xml:space="preserve">Figure </w:t>
      </w:r>
      <w:r>
        <w:rPr>
          <w:rStyle w:val="normaltextrun"/>
          <w:rFonts w:ascii="Aptos" w:hAnsi="Aptos" w:cs="Segoe UI"/>
          <w:i/>
          <w:iCs/>
          <w:color w:val="000000"/>
          <w:sz w:val="18"/>
          <w:szCs w:val="18"/>
          <w:shd w:val="clear" w:color="auto" w:fill="E1E3E6"/>
        </w:rPr>
        <w:t>3</w:t>
      </w:r>
      <w:r>
        <w:rPr>
          <w:rStyle w:val="normaltextrun"/>
          <w:rFonts w:ascii="Aptos" w:hAnsi="Aptos"/>
          <w:i/>
          <w:iCs/>
          <w:color w:val="0E2841"/>
          <w:sz w:val="18"/>
          <w:szCs w:val="18"/>
          <w:shd w:val="clear" w:color="auto" w:fill="FFFFFF"/>
        </w:rPr>
        <w:t xml:space="preserve"> The eight Implementation Principles support the Rehabilitation Outcomes and provide principles for regional rehabilitation planning</w:t>
      </w:r>
      <w:r>
        <w:rPr>
          <w:rStyle w:val="eop"/>
          <w:rFonts w:ascii="Aptos" w:hAnsi="Aptos"/>
          <w:i/>
          <w:iCs/>
          <w:color w:val="0E2841"/>
          <w:sz w:val="18"/>
          <w:szCs w:val="18"/>
          <w:shd w:val="clear" w:color="auto" w:fill="FFFFFF"/>
        </w:rPr>
        <w:t> </w:t>
      </w:r>
    </w:p>
    <w:p w14:paraId="4DA579F6" w14:textId="77777777" w:rsidR="007B0178" w:rsidRDefault="007B0178" w:rsidP="000452DC">
      <w:pPr>
        <w:pStyle w:val="paragraph"/>
        <w:spacing w:before="0" w:beforeAutospacing="0" w:after="0" w:afterAutospacing="0"/>
        <w:textAlignment w:val="baseline"/>
        <w:rPr>
          <w:rFonts w:ascii="Arial" w:hAnsi="Arial" w:cs="Arial"/>
          <w:sz w:val="22"/>
          <w:szCs w:val="22"/>
        </w:rPr>
      </w:pPr>
    </w:p>
    <w:p w14:paraId="6F7A7D52" w14:textId="0C4B6F2A" w:rsidR="000452DC" w:rsidRDefault="000452DC" w:rsidP="000452DC">
      <w:pPr>
        <w:pStyle w:val="paragraph"/>
        <w:spacing w:before="0" w:beforeAutospacing="0" w:after="0" w:afterAutospacing="0"/>
        <w:textAlignment w:val="baseline"/>
        <w:rPr>
          <w:rFonts w:ascii="Segoe UI" w:hAnsi="Segoe UI" w:cs="Segoe UI"/>
          <w:sz w:val="18"/>
          <w:szCs w:val="18"/>
        </w:rPr>
      </w:pPr>
      <w:r>
        <w:rPr>
          <w:rStyle w:val="eop"/>
          <w:color w:val="33B6D5"/>
          <w:sz w:val="22"/>
          <w:szCs w:val="22"/>
        </w:rPr>
        <w:t> </w:t>
      </w:r>
    </w:p>
    <w:p w14:paraId="3D6D529F" w14:textId="18E8A154" w:rsidR="0053726A" w:rsidRPr="007B0178" w:rsidRDefault="008A0976" w:rsidP="000452DC">
      <w:pPr>
        <w:pStyle w:val="paragraph"/>
        <w:spacing w:before="0" w:beforeAutospacing="0" w:after="0" w:afterAutospacing="0"/>
        <w:ind w:right="45"/>
        <w:textAlignment w:val="baseline"/>
        <w:rPr>
          <w:rFonts w:ascii="Arial" w:hAnsi="Arial" w:cs="Arial"/>
          <w:color w:val="4472C4" w:themeColor="accent1"/>
          <w:sz w:val="28"/>
          <w:szCs w:val="28"/>
        </w:rPr>
      </w:pPr>
      <w:r w:rsidRPr="007B0178">
        <w:rPr>
          <w:rFonts w:ascii="Arial" w:hAnsi="Arial" w:cs="Arial"/>
          <w:color w:val="4472C4" w:themeColor="accent1"/>
          <w:sz w:val="28"/>
          <w:szCs w:val="28"/>
        </w:rPr>
        <w:t>The LVRRS Amendment (2023) </w:t>
      </w:r>
    </w:p>
    <w:p w14:paraId="65A025D5" w14:textId="2C93C12C" w:rsidR="008A0976" w:rsidRPr="007B0178" w:rsidRDefault="008A0976" w:rsidP="008A0976">
      <w:pPr>
        <w:pStyle w:val="paragraph"/>
        <w:rPr>
          <w:rFonts w:ascii="Arial" w:hAnsi="Arial" w:cs="Arial"/>
          <w:sz w:val="22"/>
          <w:szCs w:val="22"/>
        </w:rPr>
      </w:pPr>
      <w:r w:rsidRPr="007B0178">
        <w:rPr>
          <w:rFonts w:ascii="Arial" w:hAnsi="Arial" w:cs="Arial"/>
          <w:sz w:val="22"/>
          <w:szCs w:val="22"/>
        </w:rPr>
        <w:t xml:space="preserve">In October 2023 the </w:t>
      </w:r>
      <w:hyperlink r:id="rId18" w:tgtFrame="_blank" w:history="1">
        <w:r w:rsidRPr="007B0178">
          <w:rPr>
            <w:rStyle w:val="Hyperlink"/>
            <w:rFonts w:ascii="Arial" w:hAnsi="Arial" w:cs="Arial"/>
            <w:sz w:val="22"/>
            <w:szCs w:val="22"/>
          </w:rPr>
          <w:t>LVRRS Amendment</w:t>
        </w:r>
      </w:hyperlink>
      <w:r w:rsidRPr="007B0178">
        <w:rPr>
          <w:rFonts w:ascii="Arial" w:hAnsi="Arial" w:cs="Arial"/>
          <w:sz w:val="22"/>
          <w:szCs w:val="22"/>
        </w:rPr>
        <w:t xml:space="preserve"> was released and reflects significant changes since 2020, including announced early closures at the Yallourn and Loy Yang mines, and the commencement of an Environmental Effects Statement (EES) at the Hazelwood mine.  </w:t>
      </w:r>
    </w:p>
    <w:p w14:paraId="4BD84175" w14:textId="77777777" w:rsidR="008A0976" w:rsidRPr="008A0976" w:rsidRDefault="008A0976" w:rsidP="008A0976">
      <w:pPr>
        <w:pStyle w:val="paragraph"/>
        <w:rPr>
          <w:rFonts w:ascii="Arial" w:hAnsi="Arial" w:cs="Arial"/>
          <w:sz w:val="22"/>
          <w:szCs w:val="22"/>
        </w:rPr>
      </w:pPr>
      <w:r w:rsidRPr="008A0976">
        <w:rPr>
          <w:rFonts w:ascii="Arial" w:hAnsi="Arial" w:cs="Arial"/>
          <w:sz w:val="22"/>
          <w:szCs w:val="22"/>
        </w:rPr>
        <w:t xml:space="preserve">Importantly, the Amendment provides conditions that could be placed on water access for mine rehabilitation to protect other uses and values of the Latrobe River system. It includes </w:t>
      </w:r>
      <w:hyperlink r:id="rId19" w:tgtFrame="_blank" w:history="1">
        <w:r w:rsidRPr="008A0976">
          <w:rPr>
            <w:rStyle w:val="Hyperlink"/>
            <w:rFonts w:ascii="Arial" w:hAnsi="Arial" w:cs="Arial"/>
            <w:sz w:val="22"/>
            <w:szCs w:val="22"/>
          </w:rPr>
          <w:t>studies undertaken</w:t>
        </w:r>
      </w:hyperlink>
      <w:r w:rsidRPr="008A0976">
        <w:rPr>
          <w:rFonts w:ascii="Arial" w:hAnsi="Arial" w:cs="Arial"/>
          <w:sz w:val="22"/>
          <w:szCs w:val="22"/>
        </w:rPr>
        <w:t xml:space="preserve"> on the use of manufactured water for mine rehabilitation, and </w:t>
      </w:r>
      <w:hyperlink r:id="rId20" w:tgtFrame="_blank" w:history="1">
        <w:r w:rsidRPr="008A0976">
          <w:rPr>
            <w:rStyle w:val="Hyperlink"/>
            <w:rFonts w:ascii="Arial" w:hAnsi="Arial" w:cs="Arial"/>
            <w:sz w:val="22"/>
            <w:szCs w:val="22"/>
          </w:rPr>
          <w:t>alternative options</w:t>
        </w:r>
      </w:hyperlink>
      <w:r w:rsidRPr="008A0976">
        <w:rPr>
          <w:rFonts w:ascii="Arial" w:hAnsi="Arial" w:cs="Arial"/>
          <w:sz w:val="22"/>
          <w:szCs w:val="22"/>
        </w:rPr>
        <w:t xml:space="preserve"> for rehabilitation, and outlines upcoming opportunities for community and stakeholder engagement in mine rehabilitation planning.  </w:t>
      </w:r>
    </w:p>
    <w:p w14:paraId="77990203" w14:textId="4254009E" w:rsidR="000452DC" w:rsidRDefault="000452DC" w:rsidP="008A0976">
      <w:pPr>
        <w:pStyle w:val="paragraph"/>
        <w:spacing w:before="0" w:beforeAutospacing="0" w:after="0" w:afterAutospacing="0"/>
        <w:textAlignment w:val="baseline"/>
        <w:rPr>
          <w:rStyle w:val="eop"/>
          <w:sz w:val="22"/>
          <w:szCs w:val="22"/>
        </w:rPr>
      </w:pPr>
    </w:p>
    <w:p w14:paraId="7F6FDA0E" w14:textId="77777777" w:rsidR="00186FB6" w:rsidRDefault="00186FB6" w:rsidP="000452DC">
      <w:pPr>
        <w:pStyle w:val="paragraph"/>
        <w:spacing w:before="0" w:beforeAutospacing="0" w:after="0" w:afterAutospacing="0"/>
        <w:ind w:left="720" w:hanging="720"/>
        <w:textAlignment w:val="baseline"/>
        <w:rPr>
          <w:rFonts w:ascii="Segoe UI" w:hAnsi="Segoe UI" w:cs="Segoe UI"/>
          <w:sz w:val="18"/>
          <w:szCs w:val="18"/>
        </w:rPr>
      </w:pPr>
    </w:p>
    <w:p w14:paraId="2118F1C4" w14:textId="2D02B2A3" w:rsidR="000452DC" w:rsidRPr="00E1481C" w:rsidRDefault="0098039A" w:rsidP="00E1481C">
      <w:pPr>
        <w:pStyle w:val="Heading2"/>
        <w:rPr>
          <w:rStyle w:val="eop"/>
          <w:color w:val="33B6D5"/>
          <w:sz w:val="28"/>
          <w:szCs w:val="28"/>
        </w:rPr>
      </w:pPr>
      <w:r w:rsidRPr="0098039A">
        <w:rPr>
          <w:rStyle w:val="normaltextrun"/>
          <w:color w:val="4472C4" w:themeColor="accent1"/>
          <w:sz w:val="28"/>
          <w:szCs w:val="28"/>
        </w:rPr>
        <w:t>The future of the LVRR</w:t>
      </w:r>
      <w:r w:rsidR="00E1481C">
        <w:rPr>
          <w:rStyle w:val="normaltextrun"/>
          <w:color w:val="4472C4" w:themeColor="accent1"/>
          <w:sz w:val="28"/>
          <w:szCs w:val="28"/>
        </w:rPr>
        <w:t>S</w:t>
      </w:r>
      <w:r w:rsidR="000452DC">
        <w:rPr>
          <w:rStyle w:val="normaltextrun"/>
          <w:sz w:val="22"/>
          <w:szCs w:val="22"/>
        </w:rPr>
        <w:t xml:space="preserve"> </w:t>
      </w:r>
    </w:p>
    <w:p w14:paraId="54FFB841" w14:textId="2D6EFDC6" w:rsidR="000452DC" w:rsidRDefault="00E1481C" w:rsidP="000452DC">
      <w:pPr>
        <w:pStyle w:val="paragraph"/>
        <w:spacing w:before="0" w:beforeAutospacing="0" w:after="0" w:afterAutospacing="0"/>
        <w:textAlignment w:val="baseline"/>
        <w:rPr>
          <w:rStyle w:val="eop"/>
          <w:sz w:val="22"/>
          <w:szCs w:val="22"/>
        </w:rPr>
      </w:pPr>
      <w:r w:rsidRPr="00E1481C">
        <w:rPr>
          <w:rStyle w:val="normaltextrun"/>
          <w:rFonts w:ascii="Arial" w:hAnsi="Arial" w:cs="Arial"/>
          <w:sz w:val="22"/>
          <w:szCs w:val="22"/>
        </w:rPr>
        <w:t>The Mineral Resources (Sustainable Development) Act 1990 (Vic) states: “the Minister must review the regional rehabilitation strategy at least once every 3 years after it is published.”</w:t>
      </w:r>
    </w:p>
    <w:p w14:paraId="67B08843" w14:textId="77777777" w:rsidR="00186FB6" w:rsidRDefault="00186FB6" w:rsidP="000452DC">
      <w:pPr>
        <w:pStyle w:val="paragraph"/>
        <w:spacing w:before="0" w:beforeAutospacing="0" w:after="0" w:afterAutospacing="0"/>
        <w:textAlignment w:val="baseline"/>
        <w:rPr>
          <w:rFonts w:ascii="Segoe UI" w:hAnsi="Segoe UI" w:cs="Segoe UI"/>
          <w:sz w:val="18"/>
          <w:szCs w:val="18"/>
        </w:rPr>
      </w:pPr>
    </w:p>
    <w:p w14:paraId="714C7D76" w14:textId="779EFE93" w:rsidR="000452DC" w:rsidRPr="00A907E3" w:rsidRDefault="00A907E3" w:rsidP="00A907E3">
      <w:pPr>
        <w:pStyle w:val="Heading2"/>
        <w:rPr>
          <w:rStyle w:val="eop"/>
          <w:color w:val="33B6D5"/>
          <w:sz w:val="28"/>
          <w:szCs w:val="28"/>
        </w:rPr>
      </w:pPr>
      <w:r w:rsidRPr="00A907E3">
        <w:rPr>
          <w:rStyle w:val="normaltextrun"/>
          <w:color w:val="4472C4" w:themeColor="accent1"/>
          <w:sz w:val="28"/>
          <w:szCs w:val="28"/>
        </w:rPr>
        <w:t>Implementation of the LVRRS</w:t>
      </w:r>
    </w:p>
    <w:p w14:paraId="3825266F" w14:textId="3BD2242F" w:rsidR="00802582" w:rsidRPr="00802582" w:rsidRDefault="00802582" w:rsidP="00802582">
      <w:pPr>
        <w:pStyle w:val="paragraph"/>
        <w:spacing w:after="0"/>
        <w:textAlignment w:val="baseline"/>
        <w:rPr>
          <w:rStyle w:val="normaltextrun"/>
          <w:rFonts w:ascii="Arial" w:hAnsi="Arial" w:cs="Arial"/>
          <w:sz w:val="22"/>
          <w:szCs w:val="22"/>
        </w:rPr>
      </w:pPr>
      <w:r w:rsidRPr="00802582">
        <w:rPr>
          <w:rStyle w:val="normaltextrun"/>
          <w:rFonts w:ascii="Arial" w:hAnsi="Arial" w:cs="Arial"/>
          <w:sz w:val="22"/>
          <w:szCs w:val="22"/>
        </w:rPr>
        <w:t xml:space="preserve">Latrobe Valley mine licensees and public sector bodies are responsible for implementing the LVRRS.  The MLRA has a legislated role to monitor the implementation and effectiveness of the LVRRS and reports on this annually through the MLRA Annual Reports.    </w:t>
      </w:r>
    </w:p>
    <w:p w14:paraId="04403AE2" w14:textId="77777777" w:rsidR="00802582" w:rsidRPr="00802582" w:rsidRDefault="00802582" w:rsidP="00802582">
      <w:pPr>
        <w:pStyle w:val="paragraph"/>
        <w:spacing w:after="0"/>
        <w:textAlignment w:val="baseline"/>
        <w:rPr>
          <w:rStyle w:val="normaltextrun"/>
          <w:rFonts w:ascii="Arial" w:hAnsi="Arial" w:cs="Arial"/>
          <w:sz w:val="22"/>
          <w:szCs w:val="22"/>
        </w:rPr>
      </w:pPr>
    </w:p>
    <w:p w14:paraId="2F1F9950" w14:textId="77777777" w:rsidR="00802582" w:rsidRPr="00802582" w:rsidRDefault="00802582" w:rsidP="00802582">
      <w:pPr>
        <w:pStyle w:val="paragraph"/>
        <w:spacing w:after="0"/>
        <w:textAlignment w:val="baseline"/>
        <w:rPr>
          <w:rStyle w:val="normaltextrun"/>
          <w:rFonts w:ascii="Arial" w:hAnsi="Arial" w:cs="Arial"/>
          <w:sz w:val="22"/>
          <w:szCs w:val="22"/>
        </w:rPr>
      </w:pPr>
      <w:r w:rsidRPr="00802582">
        <w:rPr>
          <w:rStyle w:val="normaltextrun"/>
          <w:rFonts w:ascii="Arial" w:hAnsi="Arial" w:cs="Arial"/>
          <w:sz w:val="22"/>
          <w:szCs w:val="22"/>
        </w:rPr>
        <w:t xml:space="preserve"> </w:t>
      </w:r>
    </w:p>
    <w:p w14:paraId="6A496827" w14:textId="77777777" w:rsidR="00802582" w:rsidRPr="00802582" w:rsidRDefault="00802582" w:rsidP="00802582">
      <w:pPr>
        <w:pStyle w:val="paragraph"/>
        <w:spacing w:after="0"/>
        <w:textAlignment w:val="baseline"/>
        <w:rPr>
          <w:rStyle w:val="normaltextrun"/>
          <w:rFonts w:ascii="Arial" w:hAnsi="Arial" w:cs="Arial"/>
          <w:sz w:val="22"/>
          <w:szCs w:val="22"/>
        </w:rPr>
      </w:pPr>
    </w:p>
    <w:p w14:paraId="321C0C95" w14:textId="688DB065" w:rsidR="000452DC" w:rsidRPr="002D0A52" w:rsidRDefault="00802582" w:rsidP="000452DC">
      <w:pPr>
        <w:pStyle w:val="paragraph"/>
        <w:spacing w:before="0" w:beforeAutospacing="0" w:after="0" w:afterAutospacing="0"/>
        <w:textAlignment w:val="baseline"/>
        <w:rPr>
          <w:rFonts w:ascii="Arial" w:hAnsi="Arial" w:cs="Arial"/>
          <w:sz w:val="22"/>
          <w:szCs w:val="22"/>
        </w:rPr>
      </w:pPr>
      <w:r w:rsidRPr="00802582">
        <w:rPr>
          <w:rStyle w:val="normaltextrun"/>
          <w:rFonts w:ascii="Arial" w:hAnsi="Arial" w:cs="Arial"/>
          <w:sz w:val="22"/>
          <w:szCs w:val="22"/>
        </w:rPr>
        <w:lastRenderedPageBreak/>
        <w:t>If you’re reading a printed copy, you can find all hyperlinks by visiting www.mineland.vic.gov.au  and searching for the relevant topic.</w:t>
      </w:r>
    </w:p>
    <w:p w14:paraId="1E299187" w14:textId="77777777" w:rsidR="00186FB6" w:rsidRDefault="00186FB6" w:rsidP="006533CF">
      <w:pPr>
        <w:pStyle w:val="CommentText"/>
        <w:ind w:right="-541"/>
        <w:rPr>
          <w:color w:val="000000" w:themeColor="text1"/>
          <w:sz w:val="18"/>
          <w:szCs w:val="18"/>
        </w:rPr>
      </w:pPr>
    </w:p>
    <w:p w14:paraId="699865F8" w14:textId="6D1372D7" w:rsidR="006533CF" w:rsidRPr="006533CF" w:rsidRDefault="006533CF" w:rsidP="006533CF">
      <w:pPr>
        <w:pStyle w:val="CommentText"/>
        <w:ind w:right="-541"/>
        <w:rPr>
          <w:color w:val="000000" w:themeColor="text1"/>
          <w:sz w:val="18"/>
          <w:szCs w:val="18"/>
        </w:rPr>
      </w:pPr>
      <w:r w:rsidRPr="006533CF">
        <w:rPr>
          <w:color w:val="000000" w:themeColor="text1"/>
          <w:sz w:val="18"/>
          <w:szCs w:val="18"/>
        </w:rPr>
        <w:t xml:space="preserve">MLRA Content Disclaimer: </w:t>
      </w:r>
    </w:p>
    <w:p w14:paraId="029D8009" w14:textId="478104EF" w:rsidR="006533CF" w:rsidRPr="006533CF" w:rsidRDefault="006533CF" w:rsidP="006533CF">
      <w:pPr>
        <w:pStyle w:val="CommentText"/>
        <w:ind w:right="-541"/>
        <w:rPr>
          <w:color w:val="000000" w:themeColor="text1"/>
          <w:sz w:val="18"/>
          <w:szCs w:val="18"/>
        </w:rPr>
      </w:pPr>
      <w:r w:rsidRPr="006533CF">
        <w:rPr>
          <w:color w:val="000000" w:themeColor="text1"/>
          <w:sz w:val="18"/>
          <w:szCs w:val="18"/>
        </w:rPr>
        <w:t>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stakeholders and Traditional Owners.</w:t>
      </w:r>
    </w:p>
    <w:p w14:paraId="377AF5A2" w14:textId="77777777" w:rsidR="00F9327D" w:rsidRPr="00205EE5" w:rsidRDefault="00F9327D" w:rsidP="00F9327D">
      <w:pPr>
        <w:pStyle w:val="Heading2"/>
        <w:rPr>
          <w:color w:val="0070C0"/>
          <w:sz w:val="22"/>
          <w:szCs w:val="22"/>
        </w:rPr>
      </w:pPr>
    </w:p>
    <w:p w14:paraId="41A1DD31" w14:textId="77777777" w:rsidR="00F9327D" w:rsidRPr="00F03C9E" w:rsidRDefault="00F9327D" w:rsidP="00F9327D">
      <w:pPr>
        <w:rPr>
          <w:rFonts w:ascii="Arial" w:hAnsi="Arial" w:cs="Arial"/>
          <w:color w:val="000000" w:themeColor="text1"/>
          <w:sz w:val="20"/>
          <w:szCs w:val="20"/>
        </w:rPr>
      </w:pPr>
      <w:r>
        <w:rPr>
          <w:rFonts w:ascii="Arial" w:hAnsi="Arial" w:cs="Arial"/>
          <w:lang w:eastAsia="en-GB"/>
        </w:rPr>
        <w:t>C</w:t>
      </w:r>
      <w:r w:rsidRPr="00410900">
        <w:rPr>
          <w:rFonts w:ascii="Arial" w:hAnsi="Arial" w:cs="Arial"/>
          <w:lang w:eastAsia="en-GB"/>
        </w:rPr>
        <w:t xml:space="preserve">ontact </w:t>
      </w:r>
      <w:r>
        <w:rPr>
          <w:rFonts w:ascii="Arial" w:hAnsi="Arial" w:cs="Arial"/>
          <w:lang w:eastAsia="en-GB"/>
        </w:rPr>
        <w:t>the MLRA</w:t>
      </w:r>
      <w:r w:rsidRPr="00410900">
        <w:rPr>
          <w:rFonts w:ascii="Arial" w:hAnsi="Arial" w:cs="Arial"/>
          <w:lang w:eastAsia="en-GB"/>
        </w:rPr>
        <w:t xml:space="preserve"> </w:t>
      </w:r>
      <w:r>
        <w:rPr>
          <w:rFonts w:ascii="Arial" w:hAnsi="Arial" w:cs="Arial"/>
          <w:lang w:eastAsia="en-GB"/>
        </w:rPr>
        <w:t xml:space="preserve">for more information on </w:t>
      </w:r>
      <w:r w:rsidRPr="00410900">
        <w:rPr>
          <w:rFonts w:ascii="Arial" w:hAnsi="Arial" w:cs="Arial"/>
          <w:lang w:eastAsia="en-GB"/>
        </w:rPr>
        <w:t xml:space="preserve">1800 571 966 </w:t>
      </w:r>
      <w:r>
        <w:rPr>
          <w:rFonts w:ascii="Arial" w:hAnsi="Arial" w:cs="Arial"/>
          <w:lang w:eastAsia="en-GB"/>
        </w:rPr>
        <w:t xml:space="preserve">or </w:t>
      </w:r>
      <w:hyperlink r:id="rId21" w:history="1">
        <w:r w:rsidRPr="00937E67">
          <w:rPr>
            <w:rStyle w:val="Hyperlink"/>
            <w:rFonts w:ascii="Arial" w:hAnsi="Arial" w:cs="Arial"/>
            <w:lang w:eastAsia="en-GB"/>
          </w:rPr>
          <w:t>contactus@mineland.vic.gov.au</w:t>
        </w:r>
      </w:hyperlink>
      <w:r>
        <w:rPr>
          <w:rStyle w:val="Hyperlink"/>
          <w:rFonts w:ascii="Arial" w:hAnsi="Arial" w:cs="Arial"/>
          <w:lang w:eastAsia="en-GB"/>
        </w:rPr>
        <w:t xml:space="preserve">  </w:t>
      </w:r>
    </w:p>
    <w:p w14:paraId="79AF6EA6" w14:textId="77777777" w:rsidR="00F9327D" w:rsidRDefault="00F9327D" w:rsidP="00F9327D"/>
    <w:p w14:paraId="5A34CBF1" w14:textId="77777777" w:rsidR="00F9327D" w:rsidRDefault="00F9327D" w:rsidP="00F9327D">
      <w:r w:rsidRPr="000536D9">
        <w:rPr>
          <w:noProof/>
        </w:rPr>
        <w:drawing>
          <wp:inline distT="0" distB="0" distL="0" distR="0" wp14:anchorId="3680BD49" wp14:editId="03EA601B">
            <wp:extent cx="426295" cy="419100"/>
            <wp:effectExtent l="0" t="0" r="0" b="0"/>
            <wp:docPr id="1444151094" name="Picture 144415109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22"/>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5175A354" wp14:editId="2907BE36">
            <wp:extent cx="391242" cy="381000"/>
            <wp:effectExtent l="0" t="0" r="8890" b="0"/>
            <wp:docPr id="1209897038" name="Picture 120989703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23"/>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2918D84A" wp14:editId="392E4AFA">
            <wp:extent cx="1104900" cy="267353"/>
            <wp:effectExtent l="0" t="0" r="0" b="0"/>
            <wp:docPr id="1488539040" name="Picture 148853904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4"/>
                    <a:stretch>
                      <a:fillRect/>
                    </a:stretch>
                  </pic:blipFill>
                  <pic:spPr>
                    <a:xfrm>
                      <a:off x="0" y="0"/>
                      <a:ext cx="1135063" cy="274651"/>
                    </a:xfrm>
                    <a:prstGeom prst="rect">
                      <a:avLst/>
                    </a:prstGeom>
                  </pic:spPr>
                </pic:pic>
              </a:graphicData>
            </a:graphic>
          </wp:inline>
        </w:drawing>
      </w:r>
      <w:r>
        <w:t xml:space="preserve"> MLRAuthority</w:t>
      </w:r>
    </w:p>
    <w:p w14:paraId="51D91C81" w14:textId="60AA03CB" w:rsidR="00D97E6E" w:rsidRDefault="00D97E6E" w:rsidP="000A3AD2">
      <w:pPr>
        <w:spacing w:after="225" w:line="276" w:lineRule="auto"/>
        <w:ind w:right="57"/>
        <w:outlineLvl w:val="1"/>
      </w:pPr>
    </w:p>
    <w:sectPr w:rsidR="00D97E6E" w:rsidSect="00D20B59">
      <w:headerReference w:type="default" r:id="rId25"/>
      <w:footerReference w:type="default" r:id="rId26"/>
      <w:headerReference w:type="first" r:id="rId27"/>
      <w:footerReference w:type="first" r:id="rId2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EC59F" w14:textId="77777777" w:rsidR="006C2046" w:rsidRDefault="006C2046" w:rsidP="00D12781">
      <w:pPr>
        <w:spacing w:after="0" w:line="240" w:lineRule="auto"/>
      </w:pPr>
      <w:r>
        <w:separator/>
      </w:r>
    </w:p>
  </w:endnote>
  <w:endnote w:type="continuationSeparator" w:id="0">
    <w:p w14:paraId="21812C48" w14:textId="77777777" w:rsidR="006C2046" w:rsidRDefault="006C2046" w:rsidP="00D12781">
      <w:pPr>
        <w:spacing w:after="0" w:line="240" w:lineRule="auto"/>
      </w:pPr>
      <w:r>
        <w:continuationSeparator/>
      </w:r>
    </w:p>
  </w:endnote>
  <w:endnote w:type="continuationNotice" w:id="1">
    <w:p w14:paraId="7328363A" w14:textId="77777777" w:rsidR="006C2046" w:rsidRDefault="006C20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4F06" w14:textId="5C471231" w:rsidR="00D97B00" w:rsidRDefault="00D97B00">
    <w:pPr>
      <w:pStyle w:val="Footer"/>
      <w:jc w:val="right"/>
    </w:pPr>
  </w:p>
  <w:p w14:paraId="37E05CDD" w14:textId="4178CD2D" w:rsidR="000536D9" w:rsidRDefault="008B7C84">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0E1A4" w14:textId="55EEEA1A" w:rsidR="001F3A76" w:rsidRDefault="001F3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57264" w14:textId="77777777" w:rsidR="006C2046" w:rsidRDefault="006C2046" w:rsidP="00D12781">
      <w:pPr>
        <w:spacing w:after="0" w:line="240" w:lineRule="auto"/>
      </w:pPr>
      <w:r>
        <w:separator/>
      </w:r>
    </w:p>
  </w:footnote>
  <w:footnote w:type="continuationSeparator" w:id="0">
    <w:p w14:paraId="72D86652" w14:textId="77777777" w:rsidR="006C2046" w:rsidRDefault="006C2046" w:rsidP="00D12781">
      <w:pPr>
        <w:spacing w:after="0" w:line="240" w:lineRule="auto"/>
      </w:pPr>
      <w:r>
        <w:continuationSeparator/>
      </w:r>
    </w:p>
  </w:footnote>
  <w:footnote w:type="continuationNotice" w:id="1">
    <w:p w14:paraId="3D0141EF" w14:textId="77777777" w:rsidR="006C2046" w:rsidRDefault="006C20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1F22" w14:textId="01556480" w:rsidR="00D12781" w:rsidRDefault="00D12781" w:rsidP="00D1278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A55" w14:textId="742412B0" w:rsidR="00D20B59" w:rsidRDefault="00D57B76" w:rsidP="002336D8">
    <w:pPr>
      <w:pStyle w:val="Header"/>
      <w:ind w:hanging="1418"/>
    </w:pPr>
    <w:r>
      <w:rPr>
        <w:noProof/>
      </w:rPr>
      <mc:AlternateContent>
        <mc:Choice Requires="wps">
          <w:drawing>
            <wp:anchor distT="0" distB="0" distL="114300" distR="114300" simplePos="0" relativeHeight="251655168" behindDoc="1" locked="0" layoutInCell="1" allowOverlap="1" wp14:anchorId="3546017F" wp14:editId="5E62E392">
              <wp:simplePos x="0" y="0"/>
              <wp:positionH relativeFrom="page">
                <wp:align>left</wp:align>
              </wp:positionH>
              <wp:positionV relativeFrom="paragraph">
                <wp:posOffset>0</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4A6E7" id="Rectangle 2" o:spid="_x0000_s1026" alt="&quot;&quot;" style="position:absolute;margin-left:0;margin-top:0;width:594.75pt;height:81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" fillcolor="#00b0b9" stroked="f" strokeweight="1pt">
              <w10:wrap anchorx="page"/>
            </v:rect>
          </w:pict>
        </mc:Fallback>
      </mc:AlternateContent>
    </w:r>
    <w:r w:rsidR="0072558F">
      <w:rPr>
        <w:noProof/>
      </w:rPr>
      <w:drawing>
        <wp:inline distT="0" distB="0" distL="0" distR="0" wp14:anchorId="670D1204" wp14:editId="12C14463">
          <wp:extent cx="1466850" cy="103830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0835" cy="1062357"/>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X854Mco4x0/eh" int2:id="P5bCYqGB">
      <int2:state int2:value="Rejected" int2:type="AugLoop_Text_Critique"/>
    </int2:textHash>
    <int2:textHash int2:hashCode="6hNxX9VGwy38e1" int2:id="gobmpqz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74D4"/>
    <w:multiLevelType w:val="hybridMultilevel"/>
    <w:tmpl w:val="8B269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36134B"/>
    <w:multiLevelType w:val="multilevel"/>
    <w:tmpl w:val="C014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A42102"/>
    <w:multiLevelType w:val="hybridMultilevel"/>
    <w:tmpl w:val="1974B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475B0"/>
    <w:multiLevelType w:val="hybridMultilevel"/>
    <w:tmpl w:val="4620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10393F"/>
    <w:multiLevelType w:val="multilevel"/>
    <w:tmpl w:val="D602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4E5654"/>
    <w:multiLevelType w:val="hybridMultilevel"/>
    <w:tmpl w:val="5216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A80AE4"/>
    <w:multiLevelType w:val="hybridMultilevel"/>
    <w:tmpl w:val="0910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935499"/>
    <w:multiLevelType w:val="multilevel"/>
    <w:tmpl w:val="780C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330D86"/>
    <w:multiLevelType w:val="hybridMultilevel"/>
    <w:tmpl w:val="950426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D9741A"/>
    <w:multiLevelType w:val="hybridMultilevel"/>
    <w:tmpl w:val="B33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872546">
    <w:abstractNumId w:val="8"/>
  </w:num>
  <w:num w:numId="2" w16cid:durableId="368842677">
    <w:abstractNumId w:val="5"/>
  </w:num>
  <w:num w:numId="3" w16cid:durableId="14234522">
    <w:abstractNumId w:val="6"/>
  </w:num>
  <w:num w:numId="4" w16cid:durableId="800147538">
    <w:abstractNumId w:val="3"/>
  </w:num>
  <w:num w:numId="5" w16cid:durableId="1480732527">
    <w:abstractNumId w:val="0"/>
  </w:num>
  <w:num w:numId="6" w16cid:durableId="517086437">
    <w:abstractNumId w:val="2"/>
  </w:num>
  <w:num w:numId="7" w16cid:durableId="1064990450">
    <w:abstractNumId w:val="9"/>
  </w:num>
  <w:num w:numId="8" w16cid:durableId="965625228">
    <w:abstractNumId w:val="7"/>
  </w:num>
  <w:num w:numId="9" w16cid:durableId="1511019153">
    <w:abstractNumId w:val="4"/>
  </w:num>
  <w:num w:numId="10" w16cid:durableId="271212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81"/>
    <w:rsid w:val="000032D5"/>
    <w:rsid w:val="00004AE0"/>
    <w:rsid w:val="00006BF6"/>
    <w:rsid w:val="000075BF"/>
    <w:rsid w:val="0001157C"/>
    <w:rsid w:val="0001277B"/>
    <w:rsid w:val="00014108"/>
    <w:rsid w:val="000146A0"/>
    <w:rsid w:val="00016F62"/>
    <w:rsid w:val="00021319"/>
    <w:rsid w:val="00022266"/>
    <w:rsid w:val="00025EBF"/>
    <w:rsid w:val="00026133"/>
    <w:rsid w:val="00026CC3"/>
    <w:rsid w:val="00026D3B"/>
    <w:rsid w:val="000279E8"/>
    <w:rsid w:val="00034A84"/>
    <w:rsid w:val="000452DC"/>
    <w:rsid w:val="00045D96"/>
    <w:rsid w:val="000536D9"/>
    <w:rsid w:val="000551ED"/>
    <w:rsid w:val="000602AB"/>
    <w:rsid w:val="000603E1"/>
    <w:rsid w:val="00067052"/>
    <w:rsid w:val="000670A8"/>
    <w:rsid w:val="00071C15"/>
    <w:rsid w:val="000732E7"/>
    <w:rsid w:val="000756D7"/>
    <w:rsid w:val="000760E2"/>
    <w:rsid w:val="00084F96"/>
    <w:rsid w:val="00085769"/>
    <w:rsid w:val="00092BA7"/>
    <w:rsid w:val="00094464"/>
    <w:rsid w:val="00094EBA"/>
    <w:rsid w:val="00097177"/>
    <w:rsid w:val="000A127F"/>
    <w:rsid w:val="000A34E7"/>
    <w:rsid w:val="000A3AD2"/>
    <w:rsid w:val="000A6447"/>
    <w:rsid w:val="000B0851"/>
    <w:rsid w:val="000B181C"/>
    <w:rsid w:val="000B279F"/>
    <w:rsid w:val="000C3755"/>
    <w:rsid w:val="000C5BDA"/>
    <w:rsid w:val="000D1AA2"/>
    <w:rsid w:val="000D334F"/>
    <w:rsid w:val="000D7A9E"/>
    <w:rsid w:val="000F024C"/>
    <w:rsid w:val="000F22F1"/>
    <w:rsid w:val="000F2D80"/>
    <w:rsid w:val="000F552C"/>
    <w:rsid w:val="0010409D"/>
    <w:rsid w:val="00110A06"/>
    <w:rsid w:val="001152D5"/>
    <w:rsid w:val="00115597"/>
    <w:rsid w:val="001155E9"/>
    <w:rsid w:val="00124F24"/>
    <w:rsid w:val="001279A2"/>
    <w:rsid w:val="001319BA"/>
    <w:rsid w:val="00132160"/>
    <w:rsid w:val="00132FE8"/>
    <w:rsid w:val="00134257"/>
    <w:rsid w:val="00140B18"/>
    <w:rsid w:val="0014334B"/>
    <w:rsid w:val="00143597"/>
    <w:rsid w:val="00143EF3"/>
    <w:rsid w:val="00144C4C"/>
    <w:rsid w:val="00145939"/>
    <w:rsid w:val="00146B24"/>
    <w:rsid w:val="001528F1"/>
    <w:rsid w:val="00152DAC"/>
    <w:rsid w:val="00153419"/>
    <w:rsid w:val="00154B10"/>
    <w:rsid w:val="00154BF2"/>
    <w:rsid w:val="00155586"/>
    <w:rsid w:val="00156FF3"/>
    <w:rsid w:val="00157257"/>
    <w:rsid w:val="001608FA"/>
    <w:rsid w:val="00162C00"/>
    <w:rsid w:val="00164699"/>
    <w:rsid w:val="00165D0A"/>
    <w:rsid w:val="00166965"/>
    <w:rsid w:val="00172511"/>
    <w:rsid w:val="00172572"/>
    <w:rsid w:val="00173028"/>
    <w:rsid w:val="001748F2"/>
    <w:rsid w:val="001757C0"/>
    <w:rsid w:val="001761C0"/>
    <w:rsid w:val="001769E4"/>
    <w:rsid w:val="001867B5"/>
    <w:rsid w:val="00186FB6"/>
    <w:rsid w:val="00187F25"/>
    <w:rsid w:val="0019228C"/>
    <w:rsid w:val="00193F7D"/>
    <w:rsid w:val="0019553A"/>
    <w:rsid w:val="00195B43"/>
    <w:rsid w:val="001A07C1"/>
    <w:rsid w:val="001A230F"/>
    <w:rsid w:val="001A2F99"/>
    <w:rsid w:val="001A6A1B"/>
    <w:rsid w:val="001A6ED9"/>
    <w:rsid w:val="001B0C4D"/>
    <w:rsid w:val="001B176E"/>
    <w:rsid w:val="001C2F2B"/>
    <w:rsid w:val="001C3FB7"/>
    <w:rsid w:val="001D0AB7"/>
    <w:rsid w:val="001D282C"/>
    <w:rsid w:val="001D5C07"/>
    <w:rsid w:val="001D6737"/>
    <w:rsid w:val="001D6B90"/>
    <w:rsid w:val="001E009D"/>
    <w:rsid w:val="001E08DD"/>
    <w:rsid w:val="001E1B2A"/>
    <w:rsid w:val="001E1CCD"/>
    <w:rsid w:val="001E5DCF"/>
    <w:rsid w:val="001E7112"/>
    <w:rsid w:val="001E7898"/>
    <w:rsid w:val="001F3156"/>
    <w:rsid w:val="001F3A76"/>
    <w:rsid w:val="001F4372"/>
    <w:rsid w:val="002041DA"/>
    <w:rsid w:val="00205EE5"/>
    <w:rsid w:val="00206275"/>
    <w:rsid w:val="002115EF"/>
    <w:rsid w:val="00216871"/>
    <w:rsid w:val="00216A3A"/>
    <w:rsid w:val="00216D97"/>
    <w:rsid w:val="0021721B"/>
    <w:rsid w:val="0022041C"/>
    <w:rsid w:val="00220882"/>
    <w:rsid w:val="002216B9"/>
    <w:rsid w:val="002224D6"/>
    <w:rsid w:val="00224F08"/>
    <w:rsid w:val="00226A1B"/>
    <w:rsid w:val="00232939"/>
    <w:rsid w:val="00232FE2"/>
    <w:rsid w:val="002336D8"/>
    <w:rsid w:val="0023401F"/>
    <w:rsid w:val="00234714"/>
    <w:rsid w:val="00234756"/>
    <w:rsid w:val="00234872"/>
    <w:rsid w:val="0023505B"/>
    <w:rsid w:val="0023782F"/>
    <w:rsid w:val="0024165B"/>
    <w:rsid w:val="002416CF"/>
    <w:rsid w:val="0024266B"/>
    <w:rsid w:val="002433D7"/>
    <w:rsid w:val="00244288"/>
    <w:rsid w:val="00244B16"/>
    <w:rsid w:val="00245797"/>
    <w:rsid w:val="00250C5C"/>
    <w:rsid w:val="00250F50"/>
    <w:rsid w:val="00251A06"/>
    <w:rsid w:val="00254E58"/>
    <w:rsid w:val="00256696"/>
    <w:rsid w:val="00256AE9"/>
    <w:rsid w:val="002576C0"/>
    <w:rsid w:val="00261B15"/>
    <w:rsid w:val="00263D8E"/>
    <w:rsid w:val="00264C4C"/>
    <w:rsid w:val="00265BDE"/>
    <w:rsid w:val="00267174"/>
    <w:rsid w:val="00274F1F"/>
    <w:rsid w:val="002756FE"/>
    <w:rsid w:val="0027603D"/>
    <w:rsid w:val="0027793B"/>
    <w:rsid w:val="0027795C"/>
    <w:rsid w:val="00277D27"/>
    <w:rsid w:val="0028005C"/>
    <w:rsid w:val="002807B0"/>
    <w:rsid w:val="00284B2A"/>
    <w:rsid w:val="00286C66"/>
    <w:rsid w:val="002874A0"/>
    <w:rsid w:val="00290497"/>
    <w:rsid w:val="00293AA0"/>
    <w:rsid w:val="00295988"/>
    <w:rsid w:val="00295C86"/>
    <w:rsid w:val="00296ECB"/>
    <w:rsid w:val="002977D7"/>
    <w:rsid w:val="002A0452"/>
    <w:rsid w:val="002A0A81"/>
    <w:rsid w:val="002A19A8"/>
    <w:rsid w:val="002A2A2C"/>
    <w:rsid w:val="002A2E36"/>
    <w:rsid w:val="002A5A22"/>
    <w:rsid w:val="002A7973"/>
    <w:rsid w:val="002A7FD3"/>
    <w:rsid w:val="002B0826"/>
    <w:rsid w:val="002B22B9"/>
    <w:rsid w:val="002B3B3D"/>
    <w:rsid w:val="002B5AA6"/>
    <w:rsid w:val="002C4E87"/>
    <w:rsid w:val="002C5061"/>
    <w:rsid w:val="002C7211"/>
    <w:rsid w:val="002D0062"/>
    <w:rsid w:val="002D0A52"/>
    <w:rsid w:val="002D65EC"/>
    <w:rsid w:val="002D7304"/>
    <w:rsid w:val="002E0A8E"/>
    <w:rsid w:val="002E3B56"/>
    <w:rsid w:val="002E43D3"/>
    <w:rsid w:val="002E46DF"/>
    <w:rsid w:val="002E778D"/>
    <w:rsid w:val="002F080B"/>
    <w:rsid w:val="002F31C2"/>
    <w:rsid w:val="002F33FF"/>
    <w:rsid w:val="002F58B7"/>
    <w:rsid w:val="002F5DA3"/>
    <w:rsid w:val="002F5F83"/>
    <w:rsid w:val="00305B42"/>
    <w:rsid w:val="00306B20"/>
    <w:rsid w:val="00315BEF"/>
    <w:rsid w:val="003179FF"/>
    <w:rsid w:val="003225D2"/>
    <w:rsid w:val="00324D40"/>
    <w:rsid w:val="00325664"/>
    <w:rsid w:val="00335E7F"/>
    <w:rsid w:val="0033636D"/>
    <w:rsid w:val="00340FC0"/>
    <w:rsid w:val="003447F4"/>
    <w:rsid w:val="0034523E"/>
    <w:rsid w:val="003469E2"/>
    <w:rsid w:val="003517C7"/>
    <w:rsid w:val="00351F36"/>
    <w:rsid w:val="00352964"/>
    <w:rsid w:val="0035668E"/>
    <w:rsid w:val="0035777F"/>
    <w:rsid w:val="00360B90"/>
    <w:rsid w:val="00366F77"/>
    <w:rsid w:val="00367108"/>
    <w:rsid w:val="003704AF"/>
    <w:rsid w:val="003705A5"/>
    <w:rsid w:val="0037295B"/>
    <w:rsid w:val="00373A24"/>
    <w:rsid w:val="003741BC"/>
    <w:rsid w:val="003743F4"/>
    <w:rsid w:val="00377E8E"/>
    <w:rsid w:val="003810F0"/>
    <w:rsid w:val="0038261F"/>
    <w:rsid w:val="00384A62"/>
    <w:rsid w:val="00386373"/>
    <w:rsid w:val="00387167"/>
    <w:rsid w:val="00387439"/>
    <w:rsid w:val="00387D1C"/>
    <w:rsid w:val="003912FF"/>
    <w:rsid w:val="0039262C"/>
    <w:rsid w:val="00392759"/>
    <w:rsid w:val="0039328B"/>
    <w:rsid w:val="003944B1"/>
    <w:rsid w:val="00395EA8"/>
    <w:rsid w:val="003A18F2"/>
    <w:rsid w:val="003A6C2C"/>
    <w:rsid w:val="003B1030"/>
    <w:rsid w:val="003B4880"/>
    <w:rsid w:val="003B5243"/>
    <w:rsid w:val="003B582F"/>
    <w:rsid w:val="003B6079"/>
    <w:rsid w:val="003B7F79"/>
    <w:rsid w:val="003C1104"/>
    <w:rsid w:val="003C156A"/>
    <w:rsid w:val="003C2556"/>
    <w:rsid w:val="003D1592"/>
    <w:rsid w:val="003D1E10"/>
    <w:rsid w:val="003D4C5E"/>
    <w:rsid w:val="003D52C9"/>
    <w:rsid w:val="003D7BE8"/>
    <w:rsid w:val="003D7CB7"/>
    <w:rsid w:val="003E17A3"/>
    <w:rsid w:val="003E2E55"/>
    <w:rsid w:val="003F2889"/>
    <w:rsid w:val="003F3108"/>
    <w:rsid w:val="003F394B"/>
    <w:rsid w:val="003F4C3A"/>
    <w:rsid w:val="003F5456"/>
    <w:rsid w:val="003F598C"/>
    <w:rsid w:val="003F6860"/>
    <w:rsid w:val="00401618"/>
    <w:rsid w:val="00406A8E"/>
    <w:rsid w:val="00407D53"/>
    <w:rsid w:val="00410650"/>
    <w:rsid w:val="00410900"/>
    <w:rsid w:val="00411343"/>
    <w:rsid w:val="00411866"/>
    <w:rsid w:val="0041242A"/>
    <w:rsid w:val="00412678"/>
    <w:rsid w:val="00412E09"/>
    <w:rsid w:val="00413240"/>
    <w:rsid w:val="0041615D"/>
    <w:rsid w:val="0041637A"/>
    <w:rsid w:val="004224F9"/>
    <w:rsid w:val="00422AEE"/>
    <w:rsid w:val="00422D8D"/>
    <w:rsid w:val="00425A0F"/>
    <w:rsid w:val="004303AB"/>
    <w:rsid w:val="00435330"/>
    <w:rsid w:val="00442526"/>
    <w:rsid w:val="00443A94"/>
    <w:rsid w:val="004443A5"/>
    <w:rsid w:val="00444F84"/>
    <w:rsid w:val="00450FA4"/>
    <w:rsid w:val="00450FAA"/>
    <w:rsid w:val="00451B4E"/>
    <w:rsid w:val="00452C08"/>
    <w:rsid w:val="0045378D"/>
    <w:rsid w:val="00453EF2"/>
    <w:rsid w:val="00456825"/>
    <w:rsid w:val="0046230D"/>
    <w:rsid w:val="00465704"/>
    <w:rsid w:val="00470BC0"/>
    <w:rsid w:val="0047191D"/>
    <w:rsid w:val="004720A1"/>
    <w:rsid w:val="00475DC7"/>
    <w:rsid w:val="00482C05"/>
    <w:rsid w:val="00485976"/>
    <w:rsid w:val="00485F18"/>
    <w:rsid w:val="00490B0E"/>
    <w:rsid w:val="00493F31"/>
    <w:rsid w:val="004A6330"/>
    <w:rsid w:val="004B1BD6"/>
    <w:rsid w:val="004B1C13"/>
    <w:rsid w:val="004B4E8D"/>
    <w:rsid w:val="004B5D74"/>
    <w:rsid w:val="004C2E5A"/>
    <w:rsid w:val="004C4445"/>
    <w:rsid w:val="004C67E4"/>
    <w:rsid w:val="004D4E7D"/>
    <w:rsid w:val="004D6B96"/>
    <w:rsid w:val="004D74E4"/>
    <w:rsid w:val="004E268E"/>
    <w:rsid w:val="004E2733"/>
    <w:rsid w:val="004E2E6A"/>
    <w:rsid w:val="004E55F2"/>
    <w:rsid w:val="004E5CAA"/>
    <w:rsid w:val="004E7333"/>
    <w:rsid w:val="004F58C7"/>
    <w:rsid w:val="004F5B4C"/>
    <w:rsid w:val="004F5C1A"/>
    <w:rsid w:val="00501D2C"/>
    <w:rsid w:val="00503647"/>
    <w:rsid w:val="00505263"/>
    <w:rsid w:val="00507339"/>
    <w:rsid w:val="00507576"/>
    <w:rsid w:val="0051629A"/>
    <w:rsid w:val="00522E0D"/>
    <w:rsid w:val="00524A04"/>
    <w:rsid w:val="00525AC1"/>
    <w:rsid w:val="0053020E"/>
    <w:rsid w:val="00535439"/>
    <w:rsid w:val="00535AED"/>
    <w:rsid w:val="005370F2"/>
    <w:rsid w:val="0053726A"/>
    <w:rsid w:val="00537741"/>
    <w:rsid w:val="00541ED5"/>
    <w:rsid w:val="0054666F"/>
    <w:rsid w:val="005508CF"/>
    <w:rsid w:val="00555C72"/>
    <w:rsid w:val="00556B46"/>
    <w:rsid w:val="00566239"/>
    <w:rsid w:val="00566F5F"/>
    <w:rsid w:val="005721A7"/>
    <w:rsid w:val="00577800"/>
    <w:rsid w:val="00577B2E"/>
    <w:rsid w:val="005801FE"/>
    <w:rsid w:val="0058681C"/>
    <w:rsid w:val="00587C32"/>
    <w:rsid w:val="00591848"/>
    <w:rsid w:val="00596736"/>
    <w:rsid w:val="005977AA"/>
    <w:rsid w:val="005A135A"/>
    <w:rsid w:val="005A3D9A"/>
    <w:rsid w:val="005A4937"/>
    <w:rsid w:val="005A5F69"/>
    <w:rsid w:val="005A5FD8"/>
    <w:rsid w:val="005A6EBA"/>
    <w:rsid w:val="005B1A23"/>
    <w:rsid w:val="005B204A"/>
    <w:rsid w:val="005B228A"/>
    <w:rsid w:val="005C692F"/>
    <w:rsid w:val="005C780F"/>
    <w:rsid w:val="005C7FB0"/>
    <w:rsid w:val="005D04E2"/>
    <w:rsid w:val="005E003A"/>
    <w:rsid w:val="005E235D"/>
    <w:rsid w:val="005E2EC9"/>
    <w:rsid w:val="005F4A02"/>
    <w:rsid w:val="005F54A2"/>
    <w:rsid w:val="00600717"/>
    <w:rsid w:val="00600992"/>
    <w:rsid w:val="0060113B"/>
    <w:rsid w:val="006013FD"/>
    <w:rsid w:val="006014ED"/>
    <w:rsid w:val="00601640"/>
    <w:rsid w:val="006016E6"/>
    <w:rsid w:val="006017E8"/>
    <w:rsid w:val="00601FC8"/>
    <w:rsid w:val="006024A5"/>
    <w:rsid w:val="00606647"/>
    <w:rsid w:val="006178EB"/>
    <w:rsid w:val="006225B5"/>
    <w:rsid w:val="00623F86"/>
    <w:rsid w:val="00624AE8"/>
    <w:rsid w:val="00625353"/>
    <w:rsid w:val="006262BA"/>
    <w:rsid w:val="006328ED"/>
    <w:rsid w:val="00632AAC"/>
    <w:rsid w:val="00633485"/>
    <w:rsid w:val="00634530"/>
    <w:rsid w:val="00634FE7"/>
    <w:rsid w:val="006372C4"/>
    <w:rsid w:val="0064451E"/>
    <w:rsid w:val="00645809"/>
    <w:rsid w:val="006465E9"/>
    <w:rsid w:val="00646972"/>
    <w:rsid w:val="0065130E"/>
    <w:rsid w:val="00652033"/>
    <w:rsid w:val="006521C6"/>
    <w:rsid w:val="006531C0"/>
    <w:rsid w:val="006533CF"/>
    <w:rsid w:val="006547D1"/>
    <w:rsid w:val="00654F14"/>
    <w:rsid w:val="00661BD5"/>
    <w:rsid w:val="006623DD"/>
    <w:rsid w:val="00662973"/>
    <w:rsid w:val="00662C2B"/>
    <w:rsid w:val="00663EC9"/>
    <w:rsid w:val="0066532F"/>
    <w:rsid w:val="00665B74"/>
    <w:rsid w:val="006712FA"/>
    <w:rsid w:val="0067303A"/>
    <w:rsid w:val="00676C8A"/>
    <w:rsid w:val="00677750"/>
    <w:rsid w:val="006817B9"/>
    <w:rsid w:val="00683FE0"/>
    <w:rsid w:val="0068567A"/>
    <w:rsid w:val="00685797"/>
    <w:rsid w:val="00690117"/>
    <w:rsid w:val="0069084F"/>
    <w:rsid w:val="006924DE"/>
    <w:rsid w:val="00696596"/>
    <w:rsid w:val="00697CA1"/>
    <w:rsid w:val="006A1654"/>
    <w:rsid w:val="006A20B0"/>
    <w:rsid w:val="006A24A1"/>
    <w:rsid w:val="006A4E6E"/>
    <w:rsid w:val="006A6295"/>
    <w:rsid w:val="006B0259"/>
    <w:rsid w:val="006B4D27"/>
    <w:rsid w:val="006B5B93"/>
    <w:rsid w:val="006C09DA"/>
    <w:rsid w:val="006C2046"/>
    <w:rsid w:val="006C25B0"/>
    <w:rsid w:val="006C2825"/>
    <w:rsid w:val="006D11FC"/>
    <w:rsid w:val="006D52BF"/>
    <w:rsid w:val="006D5CB0"/>
    <w:rsid w:val="006E62D2"/>
    <w:rsid w:val="006F2885"/>
    <w:rsid w:val="006F4E83"/>
    <w:rsid w:val="00702779"/>
    <w:rsid w:val="007027AE"/>
    <w:rsid w:val="00710168"/>
    <w:rsid w:val="00710DA8"/>
    <w:rsid w:val="00710F99"/>
    <w:rsid w:val="0071272F"/>
    <w:rsid w:val="00713095"/>
    <w:rsid w:val="00713F15"/>
    <w:rsid w:val="00714602"/>
    <w:rsid w:val="007167AB"/>
    <w:rsid w:val="00721990"/>
    <w:rsid w:val="00723B34"/>
    <w:rsid w:val="0072558F"/>
    <w:rsid w:val="00725A22"/>
    <w:rsid w:val="00725B79"/>
    <w:rsid w:val="00730710"/>
    <w:rsid w:val="00734A0B"/>
    <w:rsid w:val="00735A66"/>
    <w:rsid w:val="00735AD9"/>
    <w:rsid w:val="007365A7"/>
    <w:rsid w:val="0074669C"/>
    <w:rsid w:val="007471C7"/>
    <w:rsid w:val="00753CF2"/>
    <w:rsid w:val="00756079"/>
    <w:rsid w:val="00760435"/>
    <w:rsid w:val="007612AB"/>
    <w:rsid w:val="00762B7C"/>
    <w:rsid w:val="0076576D"/>
    <w:rsid w:val="007749CF"/>
    <w:rsid w:val="0078040E"/>
    <w:rsid w:val="00781762"/>
    <w:rsid w:val="00781FA8"/>
    <w:rsid w:val="00782E91"/>
    <w:rsid w:val="0078467F"/>
    <w:rsid w:val="007858B1"/>
    <w:rsid w:val="00793809"/>
    <w:rsid w:val="0079692A"/>
    <w:rsid w:val="00797CBA"/>
    <w:rsid w:val="007A0961"/>
    <w:rsid w:val="007A1FFC"/>
    <w:rsid w:val="007A50DB"/>
    <w:rsid w:val="007A52BD"/>
    <w:rsid w:val="007A7217"/>
    <w:rsid w:val="007B0178"/>
    <w:rsid w:val="007B660C"/>
    <w:rsid w:val="007B6886"/>
    <w:rsid w:val="007B69DF"/>
    <w:rsid w:val="007C0AE4"/>
    <w:rsid w:val="007C3BF3"/>
    <w:rsid w:val="007C7B2E"/>
    <w:rsid w:val="007D5736"/>
    <w:rsid w:val="007D6658"/>
    <w:rsid w:val="007E06E1"/>
    <w:rsid w:val="007E4CAF"/>
    <w:rsid w:val="007E75C7"/>
    <w:rsid w:val="007E7B50"/>
    <w:rsid w:val="007F2D0E"/>
    <w:rsid w:val="007F315D"/>
    <w:rsid w:val="007F50F9"/>
    <w:rsid w:val="008001D9"/>
    <w:rsid w:val="008010A1"/>
    <w:rsid w:val="00801D41"/>
    <w:rsid w:val="00802582"/>
    <w:rsid w:val="008041D7"/>
    <w:rsid w:val="00804D00"/>
    <w:rsid w:val="00812150"/>
    <w:rsid w:val="008168FB"/>
    <w:rsid w:val="0082365E"/>
    <w:rsid w:val="0082376A"/>
    <w:rsid w:val="008425F1"/>
    <w:rsid w:val="00844AE3"/>
    <w:rsid w:val="00847104"/>
    <w:rsid w:val="00851006"/>
    <w:rsid w:val="008511B5"/>
    <w:rsid w:val="00851401"/>
    <w:rsid w:val="0085419E"/>
    <w:rsid w:val="0086511A"/>
    <w:rsid w:val="008661BE"/>
    <w:rsid w:val="00866C3F"/>
    <w:rsid w:val="0086742F"/>
    <w:rsid w:val="0087330F"/>
    <w:rsid w:val="008741E6"/>
    <w:rsid w:val="00874C1D"/>
    <w:rsid w:val="00875B93"/>
    <w:rsid w:val="00876C41"/>
    <w:rsid w:val="00877E4B"/>
    <w:rsid w:val="008827CA"/>
    <w:rsid w:val="00882E05"/>
    <w:rsid w:val="00883363"/>
    <w:rsid w:val="0088582F"/>
    <w:rsid w:val="008A0976"/>
    <w:rsid w:val="008A0A57"/>
    <w:rsid w:val="008A1796"/>
    <w:rsid w:val="008A569B"/>
    <w:rsid w:val="008A6ACF"/>
    <w:rsid w:val="008B1442"/>
    <w:rsid w:val="008B29FE"/>
    <w:rsid w:val="008B345A"/>
    <w:rsid w:val="008B53B6"/>
    <w:rsid w:val="008B56FF"/>
    <w:rsid w:val="008B7C84"/>
    <w:rsid w:val="008C0CD3"/>
    <w:rsid w:val="008C1E7D"/>
    <w:rsid w:val="008C28AF"/>
    <w:rsid w:val="008C32B4"/>
    <w:rsid w:val="008C515F"/>
    <w:rsid w:val="008D3424"/>
    <w:rsid w:val="008D4BB0"/>
    <w:rsid w:val="008D7F37"/>
    <w:rsid w:val="008E02A8"/>
    <w:rsid w:val="008E5C76"/>
    <w:rsid w:val="008F3B72"/>
    <w:rsid w:val="008F5DAA"/>
    <w:rsid w:val="008F6911"/>
    <w:rsid w:val="00900646"/>
    <w:rsid w:val="009007CC"/>
    <w:rsid w:val="00904044"/>
    <w:rsid w:val="0090416B"/>
    <w:rsid w:val="00906DC8"/>
    <w:rsid w:val="009077CB"/>
    <w:rsid w:val="00913095"/>
    <w:rsid w:val="009165F3"/>
    <w:rsid w:val="00916FCB"/>
    <w:rsid w:val="009203D2"/>
    <w:rsid w:val="009241A2"/>
    <w:rsid w:val="00931A62"/>
    <w:rsid w:val="009332DE"/>
    <w:rsid w:val="00944EEE"/>
    <w:rsid w:val="009473F7"/>
    <w:rsid w:val="00947568"/>
    <w:rsid w:val="009510C0"/>
    <w:rsid w:val="009523DE"/>
    <w:rsid w:val="0095445D"/>
    <w:rsid w:val="00955E5F"/>
    <w:rsid w:val="00956FCF"/>
    <w:rsid w:val="00957F5C"/>
    <w:rsid w:val="00962174"/>
    <w:rsid w:val="00964F5B"/>
    <w:rsid w:val="0096517F"/>
    <w:rsid w:val="009655AE"/>
    <w:rsid w:val="0096654F"/>
    <w:rsid w:val="009676FE"/>
    <w:rsid w:val="00974546"/>
    <w:rsid w:val="009755ED"/>
    <w:rsid w:val="0098039A"/>
    <w:rsid w:val="009807DC"/>
    <w:rsid w:val="009809BF"/>
    <w:rsid w:val="00983866"/>
    <w:rsid w:val="00984C1D"/>
    <w:rsid w:val="00985E04"/>
    <w:rsid w:val="0098643F"/>
    <w:rsid w:val="00986C4B"/>
    <w:rsid w:val="009878D1"/>
    <w:rsid w:val="009923E5"/>
    <w:rsid w:val="009A1FC9"/>
    <w:rsid w:val="009A4D6C"/>
    <w:rsid w:val="009B1F4B"/>
    <w:rsid w:val="009B2A6F"/>
    <w:rsid w:val="009B3B05"/>
    <w:rsid w:val="009B4136"/>
    <w:rsid w:val="009B4BD8"/>
    <w:rsid w:val="009B7362"/>
    <w:rsid w:val="009B753C"/>
    <w:rsid w:val="009C4242"/>
    <w:rsid w:val="009C68DE"/>
    <w:rsid w:val="009C7029"/>
    <w:rsid w:val="009C733B"/>
    <w:rsid w:val="009D18EE"/>
    <w:rsid w:val="009D65B4"/>
    <w:rsid w:val="009E1E24"/>
    <w:rsid w:val="009E450F"/>
    <w:rsid w:val="009E5585"/>
    <w:rsid w:val="009E6133"/>
    <w:rsid w:val="009F0310"/>
    <w:rsid w:val="009F1A2A"/>
    <w:rsid w:val="009F372F"/>
    <w:rsid w:val="009F478E"/>
    <w:rsid w:val="009F5380"/>
    <w:rsid w:val="009F7793"/>
    <w:rsid w:val="00A02690"/>
    <w:rsid w:val="00A05E8C"/>
    <w:rsid w:val="00A07E86"/>
    <w:rsid w:val="00A148BF"/>
    <w:rsid w:val="00A15AE7"/>
    <w:rsid w:val="00A21A29"/>
    <w:rsid w:val="00A21B22"/>
    <w:rsid w:val="00A21D8E"/>
    <w:rsid w:val="00A23B69"/>
    <w:rsid w:val="00A240DE"/>
    <w:rsid w:val="00A2554C"/>
    <w:rsid w:val="00A26DF3"/>
    <w:rsid w:val="00A33EF2"/>
    <w:rsid w:val="00A35468"/>
    <w:rsid w:val="00A37B8F"/>
    <w:rsid w:val="00A37C43"/>
    <w:rsid w:val="00A40DB1"/>
    <w:rsid w:val="00A468C8"/>
    <w:rsid w:val="00A51178"/>
    <w:rsid w:val="00A51C2E"/>
    <w:rsid w:val="00A52417"/>
    <w:rsid w:val="00A52424"/>
    <w:rsid w:val="00A56F6E"/>
    <w:rsid w:val="00A57DF0"/>
    <w:rsid w:val="00A60C1F"/>
    <w:rsid w:val="00A6110E"/>
    <w:rsid w:val="00A65D80"/>
    <w:rsid w:val="00A66B2A"/>
    <w:rsid w:val="00A67A4C"/>
    <w:rsid w:val="00A709CA"/>
    <w:rsid w:val="00A70D64"/>
    <w:rsid w:val="00A71DEC"/>
    <w:rsid w:val="00A72771"/>
    <w:rsid w:val="00A72B43"/>
    <w:rsid w:val="00A746A5"/>
    <w:rsid w:val="00A74809"/>
    <w:rsid w:val="00A76428"/>
    <w:rsid w:val="00A77691"/>
    <w:rsid w:val="00A907E3"/>
    <w:rsid w:val="00A92DEA"/>
    <w:rsid w:val="00A9427E"/>
    <w:rsid w:val="00A9459E"/>
    <w:rsid w:val="00A96721"/>
    <w:rsid w:val="00AA05C3"/>
    <w:rsid w:val="00AA27EB"/>
    <w:rsid w:val="00AA75BE"/>
    <w:rsid w:val="00AA7F95"/>
    <w:rsid w:val="00AB02CA"/>
    <w:rsid w:val="00AB49FA"/>
    <w:rsid w:val="00AB7499"/>
    <w:rsid w:val="00AC011D"/>
    <w:rsid w:val="00AC01D7"/>
    <w:rsid w:val="00AC1FED"/>
    <w:rsid w:val="00AC2B40"/>
    <w:rsid w:val="00AC5D91"/>
    <w:rsid w:val="00AC6129"/>
    <w:rsid w:val="00AD171D"/>
    <w:rsid w:val="00AD1728"/>
    <w:rsid w:val="00AD5006"/>
    <w:rsid w:val="00AD564E"/>
    <w:rsid w:val="00AE026B"/>
    <w:rsid w:val="00AE3A4E"/>
    <w:rsid w:val="00AF2865"/>
    <w:rsid w:val="00AF3F79"/>
    <w:rsid w:val="00B0105B"/>
    <w:rsid w:val="00B01AB3"/>
    <w:rsid w:val="00B01C05"/>
    <w:rsid w:val="00B071FA"/>
    <w:rsid w:val="00B11965"/>
    <w:rsid w:val="00B11F33"/>
    <w:rsid w:val="00B12D40"/>
    <w:rsid w:val="00B12F16"/>
    <w:rsid w:val="00B16BC0"/>
    <w:rsid w:val="00B1784A"/>
    <w:rsid w:val="00B2203E"/>
    <w:rsid w:val="00B2376A"/>
    <w:rsid w:val="00B242ED"/>
    <w:rsid w:val="00B250F2"/>
    <w:rsid w:val="00B26F6B"/>
    <w:rsid w:val="00B33527"/>
    <w:rsid w:val="00B33667"/>
    <w:rsid w:val="00B34037"/>
    <w:rsid w:val="00B3555C"/>
    <w:rsid w:val="00B36448"/>
    <w:rsid w:val="00B37217"/>
    <w:rsid w:val="00B3735E"/>
    <w:rsid w:val="00B42D47"/>
    <w:rsid w:val="00B439F7"/>
    <w:rsid w:val="00B44FA8"/>
    <w:rsid w:val="00B5366C"/>
    <w:rsid w:val="00B547D7"/>
    <w:rsid w:val="00B55816"/>
    <w:rsid w:val="00B55B4D"/>
    <w:rsid w:val="00B57B38"/>
    <w:rsid w:val="00B60B82"/>
    <w:rsid w:val="00B637F5"/>
    <w:rsid w:val="00B64936"/>
    <w:rsid w:val="00B64E39"/>
    <w:rsid w:val="00B713A2"/>
    <w:rsid w:val="00B72233"/>
    <w:rsid w:val="00B726E0"/>
    <w:rsid w:val="00B73DAE"/>
    <w:rsid w:val="00B74EDD"/>
    <w:rsid w:val="00B75136"/>
    <w:rsid w:val="00B76141"/>
    <w:rsid w:val="00B82AFF"/>
    <w:rsid w:val="00B85610"/>
    <w:rsid w:val="00B914E4"/>
    <w:rsid w:val="00B937FF"/>
    <w:rsid w:val="00B9552F"/>
    <w:rsid w:val="00BA1B5B"/>
    <w:rsid w:val="00BA1EFA"/>
    <w:rsid w:val="00BA3323"/>
    <w:rsid w:val="00BA3FE6"/>
    <w:rsid w:val="00BA52C7"/>
    <w:rsid w:val="00BA5E05"/>
    <w:rsid w:val="00BA71D6"/>
    <w:rsid w:val="00BB3ED9"/>
    <w:rsid w:val="00BB3F0E"/>
    <w:rsid w:val="00BB471E"/>
    <w:rsid w:val="00BB6F49"/>
    <w:rsid w:val="00BC1E1A"/>
    <w:rsid w:val="00BC30EE"/>
    <w:rsid w:val="00BC348A"/>
    <w:rsid w:val="00BC40E3"/>
    <w:rsid w:val="00BC4430"/>
    <w:rsid w:val="00BC4AFD"/>
    <w:rsid w:val="00BC69EE"/>
    <w:rsid w:val="00BD41EF"/>
    <w:rsid w:val="00BD6634"/>
    <w:rsid w:val="00BE6AF3"/>
    <w:rsid w:val="00BF0659"/>
    <w:rsid w:val="00BF5C4F"/>
    <w:rsid w:val="00BF6473"/>
    <w:rsid w:val="00BF6FDF"/>
    <w:rsid w:val="00C00768"/>
    <w:rsid w:val="00C0315B"/>
    <w:rsid w:val="00C04C96"/>
    <w:rsid w:val="00C051C3"/>
    <w:rsid w:val="00C14569"/>
    <w:rsid w:val="00C15E27"/>
    <w:rsid w:val="00C215A6"/>
    <w:rsid w:val="00C2281D"/>
    <w:rsid w:val="00C24B47"/>
    <w:rsid w:val="00C26E57"/>
    <w:rsid w:val="00C27131"/>
    <w:rsid w:val="00C30F67"/>
    <w:rsid w:val="00C321FD"/>
    <w:rsid w:val="00C32927"/>
    <w:rsid w:val="00C33376"/>
    <w:rsid w:val="00C3346A"/>
    <w:rsid w:val="00C346D5"/>
    <w:rsid w:val="00C347C7"/>
    <w:rsid w:val="00C3608F"/>
    <w:rsid w:val="00C40097"/>
    <w:rsid w:val="00C4348C"/>
    <w:rsid w:val="00C434C1"/>
    <w:rsid w:val="00C43865"/>
    <w:rsid w:val="00C45490"/>
    <w:rsid w:val="00C45E78"/>
    <w:rsid w:val="00C4645A"/>
    <w:rsid w:val="00C475F7"/>
    <w:rsid w:val="00C51D48"/>
    <w:rsid w:val="00C54854"/>
    <w:rsid w:val="00C5677B"/>
    <w:rsid w:val="00C577D9"/>
    <w:rsid w:val="00C61D94"/>
    <w:rsid w:val="00C622A1"/>
    <w:rsid w:val="00C665E7"/>
    <w:rsid w:val="00C6734B"/>
    <w:rsid w:val="00C7027E"/>
    <w:rsid w:val="00C706AF"/>
    <w:rsid w:val="00C71412"/>
    <w:rsid w:val="00C73C94"/>
    <w:rsid w:val="00C740C1"/>
    <w:rsid w:val="00C74107"/>
    <w:rsid w:val="00C744D5"/>
    <w:rsid w:val="00C75663"/>
    <w:rsid w:val="00C77323"/>
    <w:rsid w:val="00C81185"/>
    <w:rsid w:val="00C8170D"/>
    <w:rsid w:val="00C81CE8"/>
    <w:rsid w:val="00C83C13"/>
    <w:rsid w:val="00C92A99"/>
    <w:rsid w:val="00C935E5"/>
    <w:rsid w:val="00CA019F"/>
    <w:rsid w:val="00CA18F6"/>
    <w:rsid w:val="00CA1D9C"/>
    <w:rsid w:val="00CA66B9"/>
    <w:rsid w:val="00CA7ED5"/>
    <w:rsid w:val="00CB067B"/>
    <w:rsid w:val="00CB56E5"/>
    <w:rsid w:val="00CB6148"/>
    <w:rsid w:val="00CB7907"/>
    <w:rsid w:val="00CC14D7"/>
    <w:rsid w:val="00CC26EB"/>
    <w:rsid w:val="00CD0A16"/>
    <w:rsid w:val="00CD1FC2"/>
    <w:rsid w:val="00CD541B"/>
    <w:rsid w:val="00CD58EF"/>
    <w:rsid w:val="00CE2E9B"/>
    <w:rsid w:val="00CE5230"/>
    <w:rsid w:val="00CF26FB"/>
    <w:rsid w:val="00CF449A"/>
    <w:rsid w:val="00CF4728"/>
    <w:rsid w:val="00CF5023"/>
    <w:rsid w:val="00CF6775"/>
    <w:rsid w:val="00CF693E"/>
    <w:rsid w:val="00D01B89"/>
    <w:rsid w:val="00D02299"/>
    <w:rsid w:val="00D037CC"/>
    <w:rsid w:val="00D0612C"/>
    <w:rsid w:val="00D0694E"/>
    <w:rsid w:val="00D12781"/>
    <w:rsid w:val="00D128C8"/>
    <w:rsid w:val="00D12CF1"/>
    <w:rsid w:val="00D1394A"/>
    <w:rsid w:val="00D1794E"/>
    <w:rsid w:val="00D20B59"/>
    <w:rsid w:val="00D235D6"/>
    <w:rsid w:val="00D23EFF"/>
    <w:rsid w:val="00D25A58"/>
    <w:rsid w:val="00D279BF"/>
    <w:rsid w:val="00D27CA5"/>
    <w:rsid w:val="00D315ED"/>
    <w:rsid w:val="00D33E2E"/>
    <w:rsid w:val="00D35302"/>
    <w:rsid w:val="00D36258"/>
    <w:rsid w:val="00D569B1"/>
    <w:rsid w:val="00D57B76"/>
    <w:rsid w:val="00D6050E"/>
    <w:rsid w:val="00D61BCF"/>
    <w:rsid w:val="00D6243F"/>
    <w:rsid w:val="00D63BE0"/>
    <w:rsid w:val="00D63E1B"/>
    <w:rsid w:val="00D648D6"/>
    <w:rsid w:val="00D6584B"/>
    <w:rsid w:val="00D739FB"/>
    <w:rsid w:val="00D77CFE"/>
    <w:rsid w:val="00D80654"/>
    <w:rsid w:val="00D81EDB"/>
    <w:rsid w:val="00D86936"/>
    <w:rsid w:val="00D86A74"/>
    <w:rsid w:val="00D876C5"/>
    <w:rsid w:val="00D90621"/>
    <w:rsid w:val="00D90C5C"/>
    <w:rsid w:val="00D92738"/>
    <w:rsid w:val="00D92D7C"/>
    <w:rsid w:val="00D97B00"/>
    <w:rsid w:val="00D97E6E"/>
    <w:rsid w:val="00DA31AF"/>
    <w:rsid w:val="00DA48C5"/>
    <w:rsid w:val="00DA4BE5"/>
    <w:rsid w:val="00DA78F7"/>
    <w:rsid w:val="00DB0D35"/>
    <w:rsid w:val="00DB287D"/>
    <w:rsid w:val="00DB4E3D"/>
    <w:rsid w:val="00DB55F5"/>
    <w:rsid w:val="00DC1D3F"/>
    <w:rsid w:val="00DC25FE"/>
    <w:rsid w:val="00DC49AC"/>
    <w:rsid w:val="00DC5B74"/>
    <w:rsid w:val="00DC5EE8"/>
    <w:rsid w:val="00DC5FFA"/>
    <w:rsid w:val="00DC6223"/>
    <w:rsid w:val="00DD2E23"/>
    <w:rsid w:val="00DD3E64"/>
    <w:rsid w:val="00DD4765"/>
    <w:rsid w:val="00DD7131"/>
    <w:rsid w:val="00DE0047"/>
    <w:rsid w:val="00DE0F10"/>
    <w:rsid w:val="00DE2266"/>
    <w:rsid w:val="00DE2B87"/>
    <w:rsid w:val="00DE5A92"/>
    <w:rsid w:val="00DF089B"/>
    <w:rsid w:val="00DF243B"/>
    <w:rsid w:val="00DF3CD9"/>
    <w:rsid w:val="00DF5FE2"/>
    <w:rsid w:val="00DF75E9"/>
    <w:rsid w:val="00E04509"/>
    <w:rsid w:val="00E06BD8"/>
    <w:rsid w:val="00E113DB"/>
    <w:rsid w:val="00E136DB"/>
    <w:rsid w:val="00E13BEC"/>
    <w:rsid w:val="00E1481C"/>
    <w:rsid w:val="00E16E87"/>
    <w:rsid w:val="00E224E5"/>
    <w:rsid w:val="00E228D2"/>
    <w:rsid w:val="00E336F1"/>
    <w:rsid w:val="00E34ED1"/>
    <w:rsid w:val="00E40CBA"/>
    <w:rsid w:val="00E41731"/>
    <w:rsid w:val="00E54FA3"/>
    <w:rsid w:val="00E56842"/>
    <w:rsid w:val="00E578AF"/>
    <w:rsid w:val="00E57AFC"/>
    <w:rsid w:val="00E57CBE"/>
    <w:rsid w:val="00E63AA3"/>
    <w:rsid w:val="00E64DF0"/>
    <w:rsid w:val="00E65CEF"/>
    <w:rsid w:val="00E66CC2"/>
    <w:rsid w:val="00E67603"/>
    <w:rsid w:val="00E679B8"/>
    <w:rsid w:val="00E74816"/>
    <w:rsid w:val="00E8122F"/>
    <w:rsid w:val="00E83190"/>
    <w:rsid w:val="00E83339"/>
    <w:rsid w:val="00E83666"/>
    <w:rsid w:val="00E86072"/>
    <w:rsid w:val="00E878CA"/>
    <w:rsid w:val="00E87B09"/>
    <w:rsid w:val="00E90533"/>
    <w:rsid w:val="00E90E35"/>
    <w:rsid w:val="00E95C91"/>
    <w:rsid w:val="00EA6662"/>
    <w:rsid w:val="00EB083B"/>
    <w:rsid w:val="00EB180B"/>
    <w:rsid w:val="00EB3F86"/>
    <w:rsid w:val="00EC172B"/>
    <w:rsid w:val="00EC1F77"/>
    <w:rsid w:val="00EC276A"/>
    <w:rsid w:val="00EC439F"/>
    <w:rsid w:val="00EC6EBE"/>
    <w:rsid w:val="00ED0CE7"/>
    <w:rsid w:val="00ED1430"/>
    <w:rsid w:val="00ED1B34"/>
    <w:rsid w:val="00ED1ED7"/>
    <w:rsid w:val="00ED214E"/>
    <w:rsid w:val="00ED296F"/>
    <w:rsid w:val="00EE22A9"/>
    <w:rsid w:val="00EE50E0"/>
    <w:rsid w:val="00EE7DD4"/>
    <w:rsid w:val="00EF0CCC"/>
    <w:rsid w:val="00EF0F7B"/>
    <w:rsid w:val="00EF1362"/>
    <w:rsid w:val="00EF1E04"/>
    <w:rsid w:val="00EF52A4"/>
    <w:rsid w:val="00F03C9E"/>
    <w:rsid w:val="00F04CBA"/>
    <w:rsid w:val="00F06AAD"/>
    <w:rsid w:val="00F0778C"/>
    <w:rsid w:val="00F11808"/>
    <w:rsid w:val="00F12DA7"/>
    <w:rsid w:val="00F20827"/>
    <w:rsid w:val="00F231AA"/>
    <w:rsid w:val="00F23279"/>
    <w:rsid w:val="00F30061"/>
    <w:rsid w:val="00F30466"/>
    <w:rsid w:val="00F37605"/>
    <w:rsid w:val="00F40F22"/>
    <w:rsid w:val="00F412D6"/>
    <w:rsid w:val="00F42F03"/>
    <w:rsid w:val="00F4361E"/>
    <w:rsid w:val="00F45F38"/>
    <w:rsid w:val="00F473DA"/>
    <w:rsid w:val="00F478F1"/>
    <w:rsid w:val="00F52EF7"/>
    <w:rsid w:val="00F55639"/>
    <w:rsid w:val="00F55D3E"/>
    <w:rsid w:val="00F568B0"/>
    <w:rsid w:val="00F5756F"/>
    <w:rsid w:val="00F602F9"/>
    <w:rsid w:val="00F6048E"/>
    <w:rsid w:val="00F6210C"/>
    <w:rsid w:val="00F70069"/>
    <w:rsid w:val="00F70C6F"/>
    <w:rsid w:val="00F72BAD"/>
    <w:rsid w:val="00F73706"/>
    <w:rsid w:val="00F8227A"/>
    <w:rsid w:val="00F8513E"/>
    <w:rsid w:val="00F85336"/>
    <w:rsid w:val="00F866AB"/>
    <w:rsid w:val="00F91492"/>
    <w:rsid w:val="00F93196"/>
    <w:rsid w:val="00F9327D"/>
    <w:rsid w:val="00F9385F"/>
    <w:rsid w:val="00F955F9"/>
    <w:rsid w:val="00F97087"/>
    <w:rsid w:val="00FA0191"/>
    <w:rsid w:val="00FA132C"/>
    <w:rsid w:val="00FA3726"/>
    <w:rsid w:val="00FA43BD"/>
    <w:rsid w:val="00FA60BE"/>
    <w:rsid w:val="00FA764C"/>
    <w:rsid w:val="00FB56EB"/>
    <w:rsid w:val="00FC0735"/>
    <w:rsid w:val="00FC0C93"/>
    <w:rsid w:val="00FC0F00"/>
    <w:rsid w:val="00FC3DE2"/>
    <w:rsid w:val="00FC562B"/>
    <w:rsid w:val="00FD245D"/>
    <w:rsid w:val="00FD38AB"/>
    <w:rsid w:val="00FE7683"/>
    <w:rsid w:val="00FF0EDA"/>
    <w:rsid w:val="00FF16DE"/>
    <w:rsid w:val="00FF194A"/>
    <w:rsid w:val="00FF3A6A"/>
    <w:rsid w:val="00FF4714"/>
    <w:rsid w:val="00FF5C68"/>
    <w:rsid w:val="01015856"/>
    <w:rsid w:val="015A17CA"/>
    <w:rsid w:val="01C617E6"/>
    <w:rsid w:val="01F63E1D"/>
    <w:rsid w:val="021E6123"/>
    <w:rsid w:val="03014E99"/>
    <w:rsid w:val="04542E9A"/>
    <w:rsid w:val="06FBA934"/>
    <w:rsid w:val="070F18DB"/>
    <w:rsid w:val="0726E0E5"/>
    <w:rsid w:val="0727DE40"/>
    <w:rsid w:val="079290EC"/>
    <w:rsid w:val="07F55BFE"/>
    <w:rsid w:val="0946F4DE"/>
    <w:rsid w:val="096047E3"/>
    <w:rsid w:val="0982C8D5"/>
    <w:rsid w:val="09D240FA"/>
    <w:rsid w:val="0A117CEA"/>
    <w:rsid w:val="0A22C256"/>
    <w:rsid w:val="0A5369E0"/>
    <w:rsid w:val="0B086857"/>
    <w:rsid w:val="0B2E03B2"/>
    <w:rsid w:val="0BB68FA8"/>
    <w:rsid w:val="0C5075FC"/>
    <w:rsid w:val="0D0D5E05"/>
    <w:rsid w:val="0D3D7070"/>
    <w:rsid w:val="0F3E0D84"/>
    <w:rsid w:val="11382000"/>
    <w:rsid w:val="1177165A"/>
    <w:rsid w:val="11842A95"/>
    <w:rsid w:val="1196C728"/>
    <w:rsid w:val="1262B364"/>
    <w:rsid w:val="127D6838"/>
    <w:rsid w:val="13B9238E"/>
    <w:rsid w:val="13DD8059"/>
    <w:rsid w:val="157F28AF"/>
    <w:rsid w:val="15EEE7BE"/>
    <w:rsid w:val="168F189A"/>
    <w:rsid w:val="16F16036"/>
    <w:rsid w:val="17C77B56"/>
    <w:rsid w:val="18A480D2"/>
    <w:rsid w:val="18A68432"/>
    <w:rsid w:val="18BC8E5D"/>
    <w:rsid w:val="190C89DE"/>
    <w:rsid w:val="193B0CCB"/>
    <w:rsid w:val="194142BA"/>
    <w:rsid w:val="1961FBC0"/>
    <w:rsid w:val="19F22468"/>
    <w:rsid w:val="1A4583B7"/>
    <w:rsid w:val="1AE21013"/>
    <w:rsid w:val="1BF060F1"/>
    <w:rsid w:val="1C6504D7"/>
    <w:rsid w:val="1CD1DEE3"/>
    <w:rsid w:val="1DB228BA"/>
    <w:rsid w:val="1DF8F3A0"/>
    <w:rsid w:val="1E3A4A71"/>
    <w:rsid w:val="1E3D8577"/>
    <w:rsid w:val="1EBBCA0C"/>
    <w:rsid w:val="1F342D46"/>
    <w:rsid w:val="2090DE02"/>
    <w:rsid w:val="20C8A745"/>
    <w:rsid w:val="20EF32C3"/>
    <w:rsid w:val="21DBBB2D"/>
    <w:rsid w:val="2236677F"/>
    <w:rsid w:val="226430FC"/>
    <w:rsid w:val="22903634"/>
    <w:rsid w:val="22A954CB"/>
    <w:rsid w:val="22BE952F"/>
    <w:rsid w:val="22CEBC42"/>
    <w:rsid w:val="23A78A99"/>
    <w:rsid w:val="24C85C3B"/>
    <w:rsid w:val="263693AD"/>
    <w:rsid w:val="26437970"/>
    <w:rsid w:val="266F6D7D"/>
    <w:rsid w:val="2763ABC7"/>
    <w:rsid w:val="281BB873"/>
    <w:rsid w:val="28958410"/>
    <w:rsid w:val="294369CB"/>
    <w:rsid w:val="29BC919B"/>
    <w:rsid w:val="2A181362"/>
    <w:rsid w:val="2B16A75B"/>
    <w:rsid w:val="2B424EC2"/>
    <w:rsid w:val="2C4C2EF4"/>
    <w:rsid w:val="2D02B44A"/>
    <w:rsid w:val="2D04AA96"/>
    <w:rsid w:val="2D8C39C7"/>
    <w:rsid w:val="2E892B8C"/>
    <w:rsid w:val="2F0451FE"/>
    <w:rsid w:val="2F6A691A"/>
    <w:rsid w:val="2F809C2C"/>
    <w:rsid w:val="2F8CBD65"/>
    <w:rsid w:val="2FEE1632"/>
    <w:rsid w:val="2FFE02C5"/>
    <w:rsid w:val="3004B530"/>
    <w:rsid w:val="3014AC61"/>
    <w:rsid w:val="30D0F81C"/>
    <w:rsid w:val="310BD4BF"/>
    <w:rsid w:val="33FDADCD"/>
    <w:rsid w:val="34082E91"/>
    <w:rsid w:val="344CCF47"/>
    <w:rsid w:val="34B045EB"/>
    <w:rsid w:val="34CA7B6C"/>
    <w:rsid w:val="3570AE8C"/>
    <w:rsid w:val="35D722DE"/>
    <w:rsid w:val="35D989C7"/>
    <w:rsid w:val="35E01FCD"/>
    <w:rsid w:val="36057BC7"/>
    <w:rsid w:val="366D8D69"/>
    <w:rsid w:val="3694B396"/>
    <w:rsid w:val="3B34247B"/>
    <w:rsid w:val="3B481E69"/>
    <w:rsid w:val="3B929AF4"/>
    <w:rsid w:val="3BE0D967"/>
    <w:rsid w:val="3BE1460A"/>
    <w:rsid w:val="3BE757A3"/>
    <w:rsid w:val="3C1A4172"/>
    <w:rsid w:val="3C207E82"/>
    <w:rsid w:val="3CD163C1"/>
    <w:rsid w:val="3CF1A355"/>
    <w:rsid w:val="3D215DE9"/>
    <w:rsid w:val="3DBC0889"/>
    <w:rsid w:val="3E72D248"/>
    <w:rsid w:val="3E80B7C6"/>
    <w:rsid w:val="3F2F6FC3"/>
    <w:rsid w:val="3F45D37A"/>
    <w:rsid w:val="3F4783CE"/>
    <w:rsid w:val="3FB1176E"/>
    <w:rsid w:val="3FE934DA"/>
    <w:rsid w:val="408B501D"/>
    <w:rsid w:val="40C31286"/>
    <w:rsid w:val="41D2B2A5"/>
    <w:rsid w:val="4224A90B"/>
    <w:rsid w:val="4289AF20"/>
    <w:rsid w:val="4335A741"/>
    <w:rsid w:val="44B9994C"/>
    <w:rsid w:val="453F71F4"/>
    <w:rsid w:val="460F62E6"/>
    <w:rsid w:val="464CD727"/>
    <w:rsid w:val="46E748B1"/>
    <w:rsid w:val="471474E0"/>
    <w:rsid w:val="47A5543E"/>
    <w:rsid w:val="481C55A6"/>
    <w:rsid w:val="48ED0801"/>
    <w:rsid w:val="492C8E71"/>
    <w:rsid w:val="49516F83"/>
    <w:rsid w:val="498A9CC2"/>
    <w:rsid w:val="4A46633D"/>
    <w:rsid w:val="4A632D24"/>
    <w:rsid w:val="4B0C4351"/>
    <w:rsid w:val="4BB0F4DD"/>
    <w:rsid w:val="4D2E3C4F"/>
    <w:rsid w:val="4ECBD0F7"/>
    <w:rsid w:val="4F17BDFD"/>
    <w:rsid w:val="5003062D"/>
    <w:rsid w:val="5089AA1B"/>
    <w:rsid w:val="5142A92E"/>
    <w:rsid w:val="52177463"/>
    <w:rsid w:val="524697E9"/>
    <w:rsid w:val="5263AF47"/>
    <w:rsid w:val="529DD5FA"/>
    <w:rsid w:val="52AA2A69"/>
    <w:rsid w:val="52CDAAA9"/>
    <w:rsid w:val="52E6E8AF"/>
    <w:rsid w:val="536E41AE"/>
    <w:rsid w:val="53DCC966"/>
    <w:rsid w:val="53F564B4"/>
    <w:rsid w:val="5409E842"/>
    <w:rsid w:val="54F10EB1"/>
    <w:rsid w:val="55E939F6"/>
    <w:rsid w:val="56AAC02A"/>
    <w:rsid w:val="57AA9CA0"/>
    <w:rsid w:val="5894A1ED"/>
    <w:rsid w:val="58F6C662"/>
    <w:rsid w:val="5B0474E3"/>
    <w:rsid w:val="5B20FEB3"/>
    <w:rsid w:val="5B211D00"/>
    <w:rsid w:val="5BCC5684"/>
    <w:rsid w:val="5D61DD92"/>
    <w:rsid w:val="5D640B50"/>
    <w:rsid w:val="5E6BB6FE"/>
    <w:rsid w:val="5F2AB59F"/>
    <w:rsid w:val="5F5DF35E"/>
    <w:rsid w:val="605479A5"/>
    <w:rsid w:val="6078E57F"/>
    <w:rsid w:val="614A3BD8"/>
    <w:rsid w:val="61A43E8E"/>
    <w:rsid w:val="62101032"/>
    <w:rsid w:val="623C3C50"/>
    <w:rsid w:val="627975FA"/>
    <w:rsid w:val="6297AD30"/>
    <w:rsid w:val="6319228A"/>
    <w:rsid w:val="63D0369E"/>
    <w:rsid w:val="63DDC9EA"/>
    <w:rsid w:val="63DDECFB"/>
    <w:rsid w:val="643DD3AD"/>
    <w:rsid w:val="6553C108"/>
    <w:rsid w:val="6581E6F6"/>
    <w:rsid w:val="66603C8E"/>
    <w:rsid w:val="6681A68D"/>
    <w:rsid w:val="668D563A"/>
    <w:rsid w:val="670C84A6"/>
    <w:rsid w:val="672C1163"/>
    <w:rsid w:val="673FFD3E"/>
    <w:rsid w:val="675FE15A"/>
    <w:rsid w:val="676E65C2"/>
    <w:rsid w:val="699CD209"/>
    <w:rsid w:val="69B1A47E"/>
    <w:rsid w:val="6AB05D77"/>
    <w:rsid w:val="6AC000E7"/>
    <w:rsid w:val="6BAC22AF"/>
    <w:rsid w:val="6E6A6A3E"/>
    <w:rsid w:val="6E76E25E"/>
    <w:rsid w:val="6E9C38A0"/>
    <w:rsid w:val="6EB5CC88"/>
    <w:rsid w:val="6F6CBBF0"/>
    <w:rsid w:val="6FD811C1"/>
    <w:rsid w:val="707FCB4C"/>
    <w:rsid w:val="7081679B"/>
    <w:rsid w:val="728C6FD9"/>
    <w:rsid w:val="72C62087"/>
    <w:rsid w:val="734F19E5"/>
    <w:rsid w:val="740FEC12"/>
    <w:rsid w:val="75872E76"/>
    <w:rsid w:val="770FB57A"/>
    <w:rsid w:val="77225BE0"/>
    <w:rsid w:val="7723BE20"/>
    <w:rsid w:val="773FF9BF"/>
    <w:rsid w:val="775D67AF"/>
    <w:rsid w:val="7766F2EA"/>
    <w:rsid w:val="77C52177"/>
    <w:rsid w:val="786C9A07"/>
    <w:rsid w:val="79389452"/>
    <w:rsid w:val="7940B51A"/>
    <w:rsid w:val="7983CFA7"/>
    <w:rsid w:val="79BE206F"/>
    <w:rsid w:val="7A80CF6D"/>
    <w:rsid w:val="7AACADC8"/>
    <w:rsid w:val="7BFCEB9E"/>
    <w:rsid w:val="7C074AD9"/>
    <w:rsid w:val="7CE15FBD"/>
    <w:rsid w:val="7D446D4B"/>
    <w:rsid w:val="7D6576D2"/>
    <w:rsid w:val="7DB6FA46"/>
    <w:rsid w:val="7E53FB5A"/>
    <w:rsid w:val="7ED2C31B"/>
    <w:rsid w:val="7FC2C185"/>
    <w:rsid w:val="7FED6D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E33C6"/>
  <w15:chartTrackingRefBased/>
  <w15:docId w15:val="{B3DE80B2-95AA-4396-9323-458B409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D97E6E"/>
    <w:pPr>
      <w:spacing w:after="225" w:line="276" w:lineRule="auto"/>
      <w:ind w:right="57"/>
      <w:outlineLvl w:val="0"/>
    </w:pPr>
    <w:rPr>
      <w:rFonts w:ascii="Arial" w:eastAsia="Times New Roman" w:hAnsi="Arial" w:cs="Arial"/>
      <w:color w:val="4472C4" w:themeColor="accent1"/>
      <w:sz w:val="28"/>
      <w:szCs w:val="28"/>
      <w:lang w:eastAsia="en-GB"/>
    </w:rPr>
  </w:style>
  <w:style w:type="paragraph" w:styleId="Heading2">
    <w:name w:val="heading 2"/>
    <w:next w:val="Normal"/>
    <w:link w:val="Heading2Char"/>
    <w:uiPriority w:val="9"/>
    <w:unhideWhenUsed/>
    <w:qFormat/>
    <w:rsid w:val="00D97E6E"/>
    <w:pPr>
      <w:spacing w:after="225" w:line="276" w:lineRule="auto"/>
      <w:ind w:right="57"/>
      <w:outlineLvl w:val="1"/>
    </w:pPr>
    <w:rPr>
      <w:rFonts w:ascii="Arial" w:eastAsia="Times New Roman" w:hAnsi="Arial" w:cs="Arial"/>
      <w:color w:val="5B9BD5" w:themeColor="accent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781"/>
  </w:style>
  <w:style w:type="paragraph" w:styleId="Footer">
    <w:name w:val="footer"/>
    <w:basedOn w:val="Normal"/>
    <w:link w:val="FooterChar"/>
    <w:uiPriority w:val="99"/>
    <w:unhideWhenUsed/>
    <w:rsid w:val="00D1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781"/>
  </w:style>
  <w:style w:type="character" w:customStyle="1" w:styleId="Heading1Char">
    <w:name w:val="Heading 1 Char"/>
    <w:basedOn w:val="DefaultParagraphFont"/>
    <w:link w:val="Heading1"/>
    <w:uiPriority w:val="9"/>
    <w:rsid w:val="00D97E6E"/>
    <w:rPr>
      <w:rFonts w:ascii="Arial" w:eastAsia="Times New Roman" w:hAnsi="Arial" w:cs="Arial"/>
      <w:color w:val="4472C4" w:themeColor="accent1"/>
      <w:sz w:val="28"/>
      <w:szCs w:val="28"/>
      <w:lang w:eastAsia="en-GB"/>
    </w:rPr>
  </w:style>
  <w:style w:type="character" w:customStyle="1" w:styleId="Heading2Char">
    <w:name w:val="Heading 2 Char"/>
    <w:basedOn w:val="DefaultParagraphFont"/>
    <w:link w:val="Heading2"/>
    <w:uiPriority w:val="9"/>
    <w:rsid w:val="00D97E6E"/>
    <w:rPr>
      <w:rFonts w:ascii="Arial" w:eastAsia="Times New Roman" w:hAnsi="Arial" w:cs="Arial"/>
      <w:color w:val="5B9BD5" w:themeColor="accent5"/>
      <w:sz w:val="20"/>
      <w:szCs w:val="20"/>
      <w:lang w:eastAsia="en-GB"/>
    </w:rPr>
  </w:style>
  <w:style w:type="character" w:styleId="Hyperlink">
    <w:name w:val="Hyperlink"/>
    <w:basedOn w:val="DefaultParagraphFont"/>
    <w:uiPriority w:val="99"/>
    <w:unhideWhenUsed/>
    <w:rsid w:val="007B660C"/>
    <w:rPr>
      <w:color w:val="0563C1" w:themeColor="hyperlink"/>
      <w:u w:val="single"/>
    </w:rPr>
  </w:style>
  <w:style w:type="character" w:styleId="UnresolvedMention">
    <w:name w:val="Unresolved Mention"/>
    <w:basedOn w:val="DefaultParagraphFont"/>
    <w:uiPriority w:val="99"/>
    <w:semiHidden/>
    <w:unhideWhenUsed/>
    <w:rsid w:val="007B660C"/>
    <w:rPr>
      <w:color w:val="605E5C"/>
      <w:shd w:val="clear" w:color="auto" w:fill="E1DFDD"/>
    </w:rPr>
  </w:style>
  <w:style w:type="paragraph" w:styleId="CommentText">
    <w:name w:val="annotation text"/>
    <w:basedOn w:val="Normal"/>
    <w:link w:val="CommentTextChar"/>
    <w:uiPriority w:val="99"/>
    <w:unhideWhenUsed/>
    <w:rsid w:val="009E450F"/>
    <w:pPr>
      <w:spacing w:line="276" w:lineRule="auto"/>
    </w:pPr>
    <w:rPr>
      <w:rFonts w:ascii="Arial" w:eastAsia="Times New Roman" w:hAnsi="Arial" w:cs="Arial"/>
      <w:color w:val="404040" w:themeColor="text1" w:themeTint="BF"/>
      <w:sz w:val="20"/>
      <w:szCs w:val="20"/>
      <w:lang w:eastAsia="en-GB"/>
    </w:rPr>
  </w:style>
  <w:style w:type="character" w:customStyle="1" w:styleId="CommentTextChar">
    <w:name w:val="Comment Text Char"/>
    <w:basedOn w:val="DefaultParagraphFont"/>
    <w:link w:val="CommentText"/>
    <w:uiPriority w:val="99"/>
    <w:rsid w:val="009E450F"/>
    <w:rPr>
      <w:rFonts w:ascii="Arial" w:eastAsia="Times New Roman" w:hAnsi="Arial" w:cs="Arial"/>
      <w:color w:val="404040" w:themeColor="text1" w:themeTint="BF"/>
      <w:sz w:val="20"/>
      <w:szCs w:val="20"/>
      <w:lang w:eastAsia="en-GB"/>
    </w:rPr>
  </w:style>
  <w:style w:type="character" w:customStyle="1" w:styleId="normaltextrun">
    <w:name w:val="normaltextrun"/>
    <w:basedOn w:val="DefaultParagraphFont"/>
    <w:rsid w:val="009E450F"/>
  </w:style>
  <w:style w:type="paragraph" w:customStyle="1" w:styleId="paragraph">
    <w:name w:val="paragraph"/>
    <w:basedOn w:val="Normal"/>
    <w:rsid w:val="009E4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E450F"/>
  </w:style>
  <w:style w:type="character" w:customStyle="1" w:styleId="findhit">
    <w:name w:val="findhit"/>
    <w:basedOn w:val="DefaultParagraphFont"/>
    <w:rsid w:val="007C7B2E"/>
  </w:style>
  <w:style w:type="paragraph" w:styleId="Revision">
    <w:name w:val="Revision"/>
    <w:hidden/>
    <w:uiPriority w:val="99"/>
    <w:semiHidden/>
    <w:rsid w:val="008B345A"/>
    <w:pPr>
      <w:spacing w:after="0" w:line="240" w:lineRule="auto"/>
    </w:pPr>
  </w:style>
  <w:style w:type="character" w:styleId="CommentReference">
    <w:name w:val="annotation reference"/>
    <w:basedOn w:val="DefaultParagraphFont"/>
    <w:uiPriority w:val="99"/>
    <w:semiHidden/>
    <w:unhideWhenUsed/>
    <w:rsid w:val="008B345A"/>
    <w:rPr>
      <w:sz w:val="16"/>
      <w:szCs w:val="16"/>
    </w:rPr>
  </w:style>
  <w:style w:type="paragraph" w:styleId="CommentSubject">
    <w:name w:val="annotation subject"/>
    <w:basedOn w:val="CommentText"/>
    <w:next w:val="CommentText"/>
    <w:link w:val="CommentSubjectChar"/>
    <w:uiPriority w:val="99"/>
    <w:semiHidden/>
    <w:unhideWhenUsed/>
    <w:rsid w:val="008B345A"/>
    <w:pPr>
      <w:spacing w:line="240" w:lineRule="auto"/>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8B345A"/>
    <w:rPr>
      <w:rFonts w:ascii="Arial" w:eastAsia="Times New Roman" w:hAnsi="Arial" w:cs="Arial"/>
      <w:b/>
      <w:bCs/>
      <w:color w:val="404040" w:themeColor="text1" w:themeTint="BF"/>
      <w:sz w:val="20"/>
      <w:szCs w:val="20"/>
      <w:lang w:eastAsia="en-GB"/>
    </w:rPr>
  </w:style>
  <w:style w:type="character" w:styleId="Mention">
    <w:name w:val="Mention"/>
    <w:basedOn w:val="DefaultParagraphFont"/>
    <w:uiPriority w:val="99"/>
    <w:unhideWhenUsed/>
    <w:rsid w:val="008B345A"/>
    <w:rPr>
      <w:color w:val="2B579A"/>
      <w:shd w:val="clear" w:color="auto" w:fill="E1DFDD"/>
    </w:rPr>
  </w:style>
  <w:style w:type="paragraph" w:styleId="Caption">
    <w:name w:val="caption"/>
    <w:basedOn w:val="Normal"/>
    <w:next w:val="Normal"/>
    <w:uiPriority w:val="35"/>
    <w:unhideWhenUsed/>
    <w:qFormat/>
    <w:rsid w:val="00AA75BE"/>
    <w:pPr>
      <w:spacing w:after="200" w:line="240" w:lineRule="auto"/>
    </w:pPr>
    <w:rPr>
      <w:i/>
      <w:iCs/>
      <w:color w:val="44546A" w:themeColor="text2"/>
      <w:sz w:val="18"/>
      <w:szCs w:val="18"/>
    </w:rPr>
  </w:style>
  <w:style w:type="paragraph" w:styleId="ListParagraph">
    <w:name w:val="List Paragraph"/>
    <w:basedOn w:val="Normal"/>
    <w:uiPriority w:val="34"/>
    <w:qFormat/>
    <w:rsid w:val="00C346D5"/>
    <w:pPr>
      <w:ind w:left="720"/>
      <w:contextualSpacing/>
    </w:pPr>
  </w:style>
  <w:style w:type="character" w:customStyle="1" w:styleId="tabchar">
    <w:name w:val="tabchar"/>
    <w:basedOn w:val="DefaultParagraphFont"/>
    <w:rsid w:val="00045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585056">
      <w:bodyDiv w:val="1"/>
      <w:marLeft w:val="0"/>
      <w:marRight w:val="0"/>
      <w:marTop w:val="0"/>
      <w:marBottom w:val="0"/>
      <w:divBdr>
        <w:top w:val="none" w:sz="0" w:space="0" w:color="auto"/>
        <w:left w:val="none" w:sz="0" w:space="0" w:color="auto"/>
        <w:bottom w:val="none" w:sz="0" w:space="0" w:color="auto"/>
        <w:right w:val="none" w:sz="0" w:space="0" w:color="auto"/>
      </w:divBdr>
      <w:divsChild>
        <w:div w:id="1527520920">
          <w:marLeft w:val="0"/>
          <w:marRight w:val="0"/>
          <w:marTop w:val="0"/>
          <w:marBottom w:val="0"/>
          <w:divBdr>
            <w:top w:val="none" w:sz="0" w:space="0" w:color="auto"/>
            <w:left w:val="none" w:sz="0" w:space="0" w:color="auto"/>
            <w:bottom w:val="none" w:sz="0" w:space="0" w:color="auto"/>
            <w:right w:val="none" w:sz="0" w:space="0" w:color="auto"/>
          </w:divBdr>
        </w:div>
        <w:div w:id="1518277941">
          <w:marLeft w:val="0"/>
          <w:marRight w:val="0"/>
          <w:marTop w:val="0"/>
          <w:marBottom w:val="0"/>
          <w:divBdr>
            <w:top w:val="none" w:sz="0" w:space="0" w:color="auto"/>
            <w:left w:val="none" w:sz="0" w:space="0" w:color="auto"/>
            <w:bottom w:val="none" w:sz="0" w:space="0" w:color="auto"/>
            <w:right w:val="none" w:sz="0" w:space="0" w:color="auto"/>
          </w:divBdr>
        </w:div>
        <w:div w:id="958605399">
          <w:marLeft w:val="0"/>
          <w:marRight w:val="0"/>
          <w:marTop w:val="0"/>
          <w:marBottom w:val="0"/>
          <w:divBdr>
            <w:top w:val="none" w:sz="0" w:space="0" w:color="auto"/>
            <w:left w:val="none" w:sz="0" w:space="0" w:color="auto"/>
            <w:bottom w:val="none" w:sz="0" w:space="0" w:color="auto"/>
            <w:right w:val="none" w:sz="0" w:space="0" w:color="auto"/>
          </w:divBdr>
        </w:div>
        <w:div w:id="340670905">
          <w:marLeft w:val="0"/>
          <w:marRight w:val="0"/>
          <w:marTop w:val="0"/>
          <w:marBottom w:val="0"/>
          <w:divBdr>
            <w:top w:val="none" w:sz="0" w:space="0" w:color="auto"/>
            <w:left w:val="none" w:sz="0" w:space="0" w:color="auto"/>
            <w:bottom w:val="none" w:sz="0" w:space="0" w:color="auto"/>
            <w:right w:val="none" w:sz="0" w:space="0" w:color="auto"/>
          </w:divBdr>
        </w:div>
        <w:div w:id="2136755783">
          <w:marLeft w:val="0"/>
          <w:marRight w:val="0"/>
          <w:marTop w:val="0"/>
          <w:marBottom w:val="0"/>
          <w:divBdr>
            <w:top w:val="none" w:sz="0" w:space="0" w:color="auto"/>
            <w:left w:val="none" w:sz="0" w:space="0" w:color="auto"/>
            <w:bottom w:val="none" w:sz="0" w:space="0" w:color="auto"/>
            <w:right w:val="none" w:sz="0" w:space="0" w:color="auto"/>
          </w:divBdr>
        </w:div>
      </w:divsChild>
    </w:div>
    <w:div w:id="729889994">
      <w:bodyDiv w:val="1"/>
      <w:marLeft w:val="0"/>
      <w:marRight w:val="0"/>
      <w:marTop w:val="0"/>
      <w:marBottom w:val="0"/>
      <w:divBdr>
        <w:top w:val="none" w:sz="0" w:space="0" w:color="auto"/>
        <w:left w:val="none" w:sz="0" w:space="0" w:color="auto"/>
        <w:bottom w:val="none" w:sz="0" w:space="0" w:color="auto"/>
        <w:right w:val="none" w:sz="0" w:space="0" w:color="auto"/>
      </w:divBdr>
      <w:divsChild>
        <w:div w:id="498926496">
          <w:marLeft w:val="0"/>
          <w:marRight w:val="0"/>
          <w:marTop w:val="0"/>
          <w:marBottom w:val="0"/>
          <w:divBdr>
            <w:top w:val="none" w:sz="0" w:space="0" w:color="auto"/>
            <w:left w:val="none" w:sz="0" w:space="0" w:color="auto"/>
            <w:bottom w:val="none" w:sz="0" w:space="0" w:color="auto"/>
            <w:right w:val="none" w:sz="0" w:space="0" w:color="auto"/>
          </w:divBdr>
        </w:div>
        <w:div w:id="755369896">
          <w:marLeft w:val="0"/>
          <w:marRight w:val="0"/>
          <w:marTop w:val="0"/>
          <w:marBottom w:val="0"/>
          <w:divBdr>
            <w:top w:val="none" w:sz="0" w:space="0" w:color="auto"/>
            <w:left w:val="none" w:sz="0" w:space="0" w:color="auto"/>
            <w:bottom w:val="none" w:sz="0" w:space="0" w:color="auto"/>
            <w:right w:val="none" w:sz="0" w:space="0" w:color="auto"/>
          </w:divBdr>
        </w:div>
        <w:div w:id="1009790293">
          <w:marLeft w:val="0"/>
          <w:marRight w:val="0"/>
          <w:marTop w:val="0"/>
          <w:marBottom w:val="0"/>
          <w:divBdr>
            <w:top w:val="none" w:sz="0" w:space="0" w:color="auto"/>
            <w:left w:val="none" w:sz="0" w:space="0" w:color="auto"/>
            <w:bottom w:val="none" w:sz="0" w:space="0" w:color="auto"/>
            <w:right w:val="none" w:sz="0" w:space="0" w:color="auto"/>
          </w:divBdr>
        </w:div>
      </w:divsChild>
    </w:div>
    <w:div w:id="927159799">
      <w:bodyDiv w:val="1"/>
      <w:marLeft w:val="0"/>
      <w:marRight w:val="0"/>
      <w:marTop w:val="0"/>
      <w:marBottom w:val="0"/>
      <w:divBdr>
        <w:top w:val="none" w:sz="0" w:space="0" w:color="auto"/>
        <w:left w:val="none" w:sz="0" w:space="0" w:color="auto"/>
        <w:bottom w:val="none" w:sz="0" w:space="0" w:color="auto"/>
        <w:right w:val="none" w:sz="0" w:space="0" w:color="auto"/>
      </w:divBdr>
      <w:divsChild>
        <w:div w:id="1166096160">
          <w:marLeft w:val="0"/>
          <w:marRight w:val="0"/>
          <w:marTop w:val="0"/>
          <w:marBottom w:val="0"/>
          <w:divBdr>
            <w:top w:val="none" w:sz="0" w:space="0" w:color="auto"/>
            <w:left w:val="none" w:sz="0" w:space="0" w:color="auto"/>
            <w:bottom w:val="none" w:sz="0" w:space="0" w:color="auto"/>
            <w:right w:val="none" w:sz="0" w:space="0" w:color="auto"/>
          </w:divBdr>
        </w:div>
        <w:div w:id="1394766718">
          <w:marLeft w:val="0"/>
          <w:marRight w:val="0"/>
          <w:marTop w:val="0"/>
          <w:marBottom w:val="0"/>
          <w:divBdr>
            <w:top w:val="none" w:sz="0" w:space="0" w:color="auto"/>
            <w:left w:val="none" w:sz="0" w:space="0" w:color="auto"/>
            <w:bottom w:val="none" w:sz="0" w:space="0" w:color="auto"/>
            <w:right w:val="none" w:sz="0" w:space="0" w:color="auto"/>
          </w:divBdr>
        </w:div>
        <w:div w:id="1613852758">
          <w:marLeft w:val="0"/>
          <w:marRight w:val="0"/>
          <w:marTop w:val="0"/>
          <w:marBottom w:val="0"/>
          <w:divBdr>
            <w:top w:val="none" w:sz="0" w:space="0" w:color="auto"/>
            <w:left w:val="none" w:sz="0" w:space="0" w:color="auto"/>
            <w:bottom w:val="none" w:sz="0" w:space="0" w:color="auto"/>
            <w:right w:val="none" w:sz="0" w:space="0" w:color="auto"/>
          </w:divBdr>
        </w:div>
      </w:divsChild>
    </w:div>
    <w:div w:id="1473936961">
      <w:bodyDiv w:val="1"/>
      <w:marLeft w:val="0"/>
      <w:marRight w:val="0"/>
      <w:marTop w:val="0"/>
      <w:marBottom w:val="0"/>
      <w:divBdr>
        <w:top w:val="none" w:sz="0" w:space="0" w:color="auto"/>
        <w:left w:val="none" w:sz="0" w:space="0" w:color="auto"/>
        <w:bottom w:val="none" w:sz="0" w:space="0" w:color="auto"/>
        <w:right w:val="none" w:sz="0" w:space="0" w:color="auto"/>
      </w:divBdr>
      <w:divsChild>
        <w:div w:id="706412628">
          <w:marLeft w:val="0"/>
          <w:marRight w:val="0"/>
          <w:marTop w:val="0"/>
          <w:marBottom w:val="0"/>
          <w:divBdr>
            <w:top w:val="none" w:sz="0" w:space="0" w:color="auto"/>
            <w:left w:val="none" w:sz="0" w:space="0" w:color="auto"/>
            <w:bottom w:val="none" w:sz="0" w:space="0" w:color="auto"/>
            <w:right w:val="none" w:sz="0" w:space="0" w:color="auto"/>
          </w:divBdr>
        </w:div>
        <w:div w:id="527260399">
          <w:marLeft w:val="0"/>
          <w:marRight w:val="0"/>
          <w:marTop w:val="0"/>
          <w:marBottom w:val="0"/>
          <w:divBdr>
            <w:top w:val="none" w:sz="0" w:space="0" w:color="auto"/>
            <w:left w:val="none" w:sz="0" w:space="0" w:color="auto"/>
            <w:bottom w:val="none" w:sz="0" w:space="0" w:color="auto"/>
            <w:right w:val="none" w:sz="0" w:space="0" w:color="auto"/>
          </w:divBdr>
        </w:div>
        <w:div w:id="416055177">
          <w:marLeft w:val="0"/>
          <w:marRight w:val="0"/>
          <w:marTop w:val="0"/>
          <w:marBottom w:val="0"/>
          <w:divBdr>
            <w:top w:val="none" w:sz="0" w:space="0" w:color="auto"/>
            <w:left w:val="none" w:sz="0" w:space="0" w:color="auto"/>
            <w:bottom w:val="none" w:sz="0" w:space="0" w:color="auto"/>
            <w:right w:val="none" w:sz="0" w:space="0" w:color="auto"/>
          </w:divBdr>
        </w:div>
      </w:divsChild>
    </w:div>
    <w:div w:id="1511606070">
      <w:bodyDiv w:val="1"/>
      <w:marLeft w:val="0"/>
      <w:marRight w:val="0"/>
      <w:marTop w:val="0"/>
      <w:marBottom w:val="0"/>
      <w:divBdr>
        <w:top w:val="none" w:sz="0" w:space="0" w:color="auto"/>
        <w:left w:val="none" w:sz="0" w:space="0" w:color="auto"/>
        <w:bottom w:val="none" w:sz="0" w:space="0" w:color="auto"/>
        <w:right w:val="none" w:sz="0" w:space="0" w:color="auto"/>
      </w:divBdr>
      <w:divsChild>
        <w:div w:id="1399207480">
          <w:marLeft w:val="0"/>
          <w:marRight w:val="0"/>
          <w:marTop w:val="0"/>
          <w:marBottom w:val="0"/>
          <w:divBdr>
            <w:top w:val="none" w:sz="0" w:space="0" w:color="auto"/>
            <w:left w:val="none" w:sz="0" w:space="0" w:color="auto"/>
            <w:bottom w:val="none" w:sz="0" w:space="0" w:color="auto"/>
            <w:right w:val="none" w:sz="0" w:space="0" w:color="auto"/>
          </w:divBdr>
        </w:div>
        <w:div w:id="173687363">
          <w:marLeft w:val="0"/>
          <w:marRight w:val="0"/>
          <w:marTop w:val="0"/>
          <w:marBottom w:val="0"/>
          <w:divBdr>
            <w:top w:val="none" w:sz="0" w:space="0" w:color="auto"/>
            <w:left w:val="none" w:sz="0" w:space="0" w:color="auto"/>
            <w:bottom w:val="none" w:sz="0" w:space="0" w:color="auto"/>
            <w:right w:val="none" w:sz="0" w:space="0" w:color="auto"/>
          </w:divBdr>
        </w:div>
        <w:div w:id="418450618">
          <w:marLeft w:val="0"/>
          <w:marRight w:val="0"/>
          <w:marTop w:val="0"/>
          <w:marBottom w:val="0"/>
          <w:divBdr>
            <w:top w:val="none" w:sz="0" w:space="0" w:color="auto"/>
            <w:left w:val="none" w:sz="0" w:space="0" w:color="auto"/>
            <w:bottom w:val="none" w:sz="0" w:space="0" w:color="auto"/>
            <w:right w:val="none" w:sz="0" w:space="0" w:color="auto"/>
          </w:divBdr>
        </w:div>
      </w:divsChild>
    </w:div>
    <w:div w:id="1713654717">
      <w:bodyDiv w:val="1"/>
      <w:marLeft w:val="0"/>
      <w:marRight w:val="0"/>
      <w:marTop w:val="0"/>
      <w:marBottom w:val="0"/>
      <w:divBdr>
        <w:top w:val="none" w:sz="0" w:space="0" w:color="auto"/>
        <w:left w:val="none" w:sz="0" w:space="0" w:color="auto"/>
        <w:bottom w:val="none" w:sz="0" w:space="0" w:color="auto"/>
        <w:right w:val="none" w:sz="0" w:space="0" w:color="auto"/>
      </w:divBdr>
      <w:divsChild>
        <w:div w:id="1136607938">
          <w:marLeft w:val="0"/>
          <w:marRight w:val="0"/>
          <w:marTop w:val="0"/>
          <w:marBottom w:val="0"/>
          <w:divBdr>
            <w:top w:val="none" w:sz="0" w:space="0" w:color="auto"/>
            <w:left w:val="none" w:sz="0" w:space="0" w:color="auto"/>
            <w:bottom w:val="none" w:sz="0" w:space="0" w:color="auto"/>
            <w:right w:val="none" w:sz="0" w:space="0" w:color="auto"/>
          </w:divBdr>
        </w:div>
        <w:div w:id="579602845">
          <w:marLeft w:val="0"/>
          <w:marRight w:val="0"/>
          <w:marTop w:val="0"/>
          <w:marBottom w:val="0"/>
          <w:divBdr>
            <w:top w:val="none" w:sz="0" w:space="0" w:color="auto"/>
            <w:left w:val="none" w:sz="0" w:space="0" w:color="auto"/>
            <w:bottom w:val="none" w:sz="0" w:space="0" w:color="auto"/>
            <w:right w:val="none" w:sz="0" w:space="0" w:color="auto"/>
          </w:divBdr>
        </w:div>
      </w:divsChild>
    </w:div>
    <w:div w:id="1757088543">
      <w:bodyDiv w:val="1"/>
      <w:marLeft w:val="0"/>
      <w:marRight w:val="0"/>
      <w:marTop w:val="0"/>
      <w:marBottom w:val="0"/>
      <w:divBdr>
        <w:top w:val="none" w:sz="0" w:space="0" w:color="auto"/>
        <w:left w:val="none" w:sz="0" w:space="0" w:color="auto"/>
        <w:bottom w:val="none" w:sz="0" w:space="0" w:color="auto"/>
        <w:right w:val="none" w:sz="0" w:space="0" w:color="auto"/>
      </w:divBdr>
      <w:divsChild>
        <w:div w:id="754714302">
          <w:marLeft w:val="0"/>
          <w:marRight w:val="0"/>
          <w:marTop w:val="0"/>
          <w:marBottom w:val="0"/>
          <w:divBdr>
            <w:top w:val="none" w:sz="0" w:space="0" w:color="auto"/>
            <w:left w:val="none" w:sz="0" w:space="0" w:color="auto"/>
            <w:bottom w:val="none" w:sz="0" w:space="0" w:color="auto"/>
            <w:right w:val="none" w:sz="0" w:space="0" w:color="auto"/>
          </w:divBdr>
        </w:div>
        <w:div w:id="580456431">
          <w:marLeft w:val="0"/>
          <w:marRight w:val="0"/>
          <w:marTop w:val="0"/>
          <w:marBottom w:val="0"/>
          <w:divBdr>
            <w:top w:val="none" w:sz="0" w:space="0" w:color="auto"/>
            <w:left w:val="none" w:sz="0" w:space="0" w:color="auto"/>
            <w:bottom w:val="none" w:sz="0" w:space="0" w:color="auto"/>
            <w:right w:val="none" w:sz="0" w:space="0" w:color="auto"/>
          </w:divBdr>
        </w:div>
        <w:div w:id="1202397095">
          <w:marLeft w:val="0"/>
          <w:marRight w:val="0"/>
          <w:marTop w:val="0"/>
          <w:marBottom w:val="0"/>
          <w:divBdr>
            <w:top w:val="none" w:sz="0" w:space="0" w:color="auto"/>
            <w:left w:val="none" w:sz="0" w:space="0" w:color="auto"/>
            <w:bottom w:val="none" w:sz="0" w:space="0" w:color="auto"/>
            <w:right w:val="none" w:sz="0" w:space="0" w:color="auto"/>
          </w:divBdr>
        </w:div>
      </w:divsChild>
    </w:div>
    <w:div w:id="1781216302">
      <w:bodyDiv w:val="1"/>
      <w:marLeft w:val="0"/>
      <w:marRight w:val="0"/>
      <w:marTop w:val="0"/>
      <w:marBottom w:val="0"/>
      <w:divBdr>
        <w:top w:val="none" w:sz="0" w:space="0" w:color="auto"/>
        <w:left w:val="none" w:sz="0" w:space="0" w:color="auto"/>
        <w:bottom w:val="none" w:sz="0" w:space="0" w:color="auto"/>
        <w:right w:val="none" w:sz="0" w:space="0" w:color="auto"/>
      </w:divBdr>
      <w:divsChild>
        <w:div w:id="619069594">
          <w:marLeft w:val="0"/>
          <w:marRight w:val="0"/>
          <w:marTop w:val="0"/>
          <w:marBottom w:val="0"/>
          <w:divBdr>
            <w:top w:val="none" w:sz="0" w:space="0" w:color="auto"/>
            <w:left w:val="none" w:sz="0" w:space="0" w:color="auto"/>
            <w:bottom w:val="none" w:sz="0" w:space="0" w:color="auto"/>
            <w:right w:val="none" w:sz="0" w:space="0" w:color="auto"/>
          </w:divBdr>
        </w:div>
        <w:div w:id="1692295559">
          <w:marLeft w:val="0"/>
          <w:marRight w:val="0"/>
          <w:marTop w:val="0"/>
          <w:marBottom w:val="0"/>
          <w:divBdr>
            <w:top w:val="none" w:sz="0" w:space="0" w:color="auto"/>
            <w:left w:val="none" w:sz="0" w:space="0" w:color="auto"/>
            <w:bottom w:val="none" w:sz="0" w:space="0" w:color="auto"/>
            <w:right w:val="none" w:sz="0" w:space="0" w:color="auto"/>
          </w:divBdr>
        </w:div>
        <w:div w:id="196048855">
          <w:marLeft w:val="0"/>
          <w:marRight w:val="0"/>
          <w:marTop w:val="0"/>
          <w:marBottom w:val="0"/>
          <w:divBdr>
            <w:top w:val="none" w:sz="0" w:space="0" w:color="auto"/>
            <w:left w:val="none" w:sz="0" w:space="0" w:color="auto"/>
            <w:bottom w:val="none" w:sz="0" w:space="0" w:color="auto"/>
            <w:right w:val="none" w:sz="0" w:space="0" w:color="auto"/>
          </w:divBdr>
        </w:div>
        <w:div w:id="685790306">
          <w:marLeft w:val="0"/>
          <w:marRight w:val="0"/>
          <w:marTop w:val="0"/>
          <w:marBottom w:val="0"/>
          <w:divBdr>
            <w:top w:val="none" w:sz="0" w:space="0" w:color="auto"/>
            <w:left w:val="none" w:sz="0" w:space="0" w:color="auto"/>
            <w:bottom w:val="none" w:sz="0" w:space="0" w:color="auto"/>
            <w:right w:val="none" w:sz="0" w:space="0" w:color="auto"/>
          </w:divBdr>
        </w:div>
        <w:div w:id="1716849049">
          <w:marLeft w:val="0"/>
          <w:marRight w:val="0"/>
          <w:marTop w:val="0"/>
          <w:marBottom w:val="0"/>
          <w:divBdr>
            <w:top w:val="none" w:sz="0" w:space="0" w:color="auto"/>
            <w:left w:val="none" w:sz="0" w:space="0" w:color="auto"/>
            <w:bottom w:val="none" w:sz="0" w:space="0" w:color="auto"/>
            <w:right w:val="none" w:sz="0" w:space="0" w:color="auto"/>
          </w:divBdr>
        </w:div>
        <w:div w:id="916017226">
          <w:marLeft w:val="0"/>
          <w:marRight w:val="0"/>
          <w:marTop w:val="0"/>
          <w:marBottom w:val="0"/>
          <w:divBdr>
            <w:top w:val="none" w:sz="0" w:space="0" w:color="auto"/>
            <w:left w:val="none" w:sz="0" w:space="0" w:color="auto"/>
            <w:bottom w:val="none" w:sz="0" w:space="0" w:color="auto"/>
            <w:right w:val="none" w:sz="0" w:space="0" w:color="auto"/>
          </w:divBdr>
        </w:div>
        <w:div w:id="1143541930">
          <w:marLeft w:val="0"/>
          <w:marRight w:val="0"/>
          <w:marTop w:val="0"/>
          <w:marBottom w:val="0"/>
          <w:divBdr>
            <w:top w:val="none" w:sz="0" w:space="0" w:color="auto"/>
            <w:left w:val="none" w:sz="0" w:space="0" w:color="auto"/>
            <w:bottom w:val="none" w:sz="0" w:space="0" w:color="auto"/>
            <w:right w:val="none" w:sz="0" w:space="0" w:color="auto"/>
          </w:divBdr>
        </w:div>
        <w:div w:id="1291282325">
          <w:marLeft w:val="0"/>
          <w:marRight w:val="0"/>
          <w:marTop w:val="0"/>
          <w:marBottom w:val="0"/>
          <w:divBdr>
            <w:top w:val="none" w:sz="0" w:space="0" w:color="auto"/>
            <w:left w:val="none" w:sz="0" w:space="0" w:color="auto"/>
            <w:bottom w:val="none" w:sz="0" w:space="0" w:color="auto"/>
            <w:right w:val="none" w:sz="0" w:space="0" w:color="auto"/>
          </w:divBdr>
        </w:div>
        <w:div w:id="1961841103">
          <w:marLeft w:val="0"/>
          <w:marRight w:val="0"/>
          <w:marTop w:val="0"/>
          <w:marBottom w:val="0"/>
          <w:divBdr>
            <w:top w:val="none" w:sz="0" w:space="0" w:color="auto"/>
            <w:left w:val="none" w:sz="0" w:space="0" w:color="auto"/>
            <w:bottom w:val="none" w:sz="0" w:space="0" w:color="auto"/>
            <w:right w:val="none" w:sz="0" w:space="0" w:color="auto"/>
          </w:divBdr>
        </w:div>
        <w:div w:id="16083132">
          <w:marLeft w:val="0"/>
          <w:marRight w:val="0"/>
          <w:marTop w:val="0"/>
          <w:marBottom w:val="0"/>
          <w:divBdr>
            <w:top w:val="none" w:sz="0" w:space="0" w:color="auto"/>
            <w:left w:val="none" w:sz="0" w:space="0" w:color="auto"/>
            <w:bottom w:val="none" w:sz="0" w:space="0" w:color="auto"/>
            <w:right w:val="none" w:sz="0" w:space="0" w:color="auto"/>
          </w:divBdr>
        </w:div>
        <w:div w:id="450363961">
          <w:marLeft w:val="0"/>
          <w:marRight w:val="0"/>
          <w:marTop w:val="0"/>
          <w:marBottom w:val="0"/>
          <w:divBdr>
            <w:top w:val="none" w:sz="0" w:space="0" w:color="auto"/>
            <w:left w:val="none" w:sz="0" w:space="0" w:color="auto"/>
            <w:bottom w:val="none" w:sz="0" w:space="0" w:color="auto"/>
            <w:right w:val="none" w:sz="0" w:space="0" w:color="auto"/>
          </w:divBdr>
        </w:div>
        <w:div w:id="1466267053">
          <w:marLeft w:val="0"/>
          <w:marRight w:val="0"/>
          <w:marTop w:val="0"/>
          <w:marBottom w:val="0"/>
          <w:divBdr>
            <w:top w:val="none" w:sz="0" w:space="0" w:color="auto"/>
            <w:left w:val="none" w:sz="0" w:space="0" w:color="auto"/>
            <w:bottom w:val="none" w:sz="0" w:space="0" w:color="auto"/>
            <w:right w:val="none" w:sz="0" w:space="0" w:color="auto"/>
          </w:divBdr>
        </w:div>
        <w:div w:id="498153120">
          <w:marLeft w:val="0"/>
          <w:marRight w:val="0"/>
          <w:marTop w:val="0"/>
          <w:marBottom w:val="0"/>
          <w:divBdr>
            <w:top w:val="none" w:sz="0" w:space="0" w:color="auto"/>
            <w:left w:val="none" w:sz="0" w:space="0" w:color="auto"/>
            <w:bottom w:val="none" w:sz="0" w:space="0" w:color="auto"/>
            <w:right w:val="none" w:sz="0" w:space="0" w:color="auto"/>
          </w:divBdr>
        </w:div>
        <w:div w:id="754279358">
          <w:marLeft w:val="0"/>
          <w:marRight w:val="0"/>
          <w:marTop w:val="0"/>
          <w:marBottom w:val="0"/>
          <w:divBdr>
            <w:top w:val="none" w:sz="0" w:space="0" w:color="auto"/>
            <w:left w:val="none" w:sz="0" w:space="0" w:color="auto"/>
            <w:bottom w:val="none" w:sz="0" w:space="0" w:color="auto"/>
            <w:right w:val="none" w:sz="0" w:space="0" w:color="auto"/>
          </w:divBdr>
        </w:div>
        <w:div w:id="54938568">
          <w:marLeft w:val="0"/>
          <w:marRight w:val="0"/>
          <w:marTop w:val="0"/>
          <w:marBottom w:val="0"/>
          <w:divBdr>
            <w:top w:val="none" w:sz="0" w:space="0" w:color="auto"/>
            <w:left w:val="none" w:sz="0" w:space="0" w:color="auto"/>
            <w:bottom w:val="none" w:sz="0" w:space="0" w:color="auto"/>
            <w:right w:val="none" w:sz="0" w:space="0" w:color="auto"/>
          </w:divBdr>
        </w:div>
        <w:div w:id="1565917874">
          <w:marLeft w:val="0"/>
          <w:marRight w:val="0"/>
          <w:marTop w:val="0"/>
          <w:marBottom w:val="0"/>
          <w:divBdr>
            <w:top w:val="none" w:sz="0" w:space="0" w:color="auto"/>
            <w:left w:val="none" w:sz="0" w:space="0" w:color="auto"/>
            <w:bottom w:val="none" w:sz="0" w:space="0" w:color="auto"/>
            <w:right w:val="none" w:sz="0" w:space="0" w:color="auto"/>
          </w:divBdr>
        </w:div>
        <w:div w:id="1836408974">
          <w:marLeft w:val="0"/>
          <w:marRight w:val="0"/>
          <w:marTop w:val="0"/>
          <w:marBottom w:val="0"/>
          <w:divBdr>
            <w:top w:val="none" w:sz="0" w:space="0" w:color="auto"/>
            <w:left w:val="none" w:sz="0" w:space="0" w:color="auto"/>
            <w:bottom w:val="none" w:sz="0" w:space="0" w:color="auto"/>
            <w:right w:val="none" w:sz="0" w:space="0" w:color="auto"/>
          </w:divBdr>
        </w:div>
        <w:div w:id="960260552">
          <w:marLeft w:val="0"/>
          <w:marRight w:val="0"/>
          <w:marTop w:val="0"/>
          <w:marBottom w:val="0"/>
          <w:divBdr>
            <w:top w:val="none" w:sz="0" w:space="0" w:color="auto"/>
            <w:left w:val="none" w:sz="0" w:space="0" w:color="auto"/>
            <w:bottom w:val="none" w:sz="0" w:space="0" w:color="auto"/>
            <w:right w:val="none" w:sz="0" w:space="0" w:color="auto"/>
          </w:divBdr>
        </w:div>
        <w:div w:id="839929622">
          <w:marLeft w:val="0"/>
          <w:marRight w:val="0"/>
          <w:marTop w:val="0"/>
          <w:marBottom w:val="0"/>
          <w:divBdr>
            <w:top w:val="none" w:sz="0" w:space="0" w:color="auto"/>
            <w:left w:val="none" w:sz="0" w:space="0" w:color="auto"/>
            <w:bottom w:val="none" w:sz="0" w:space="0" w:color="auto"/>
            <w:right w:val="none" w:sz="0" w:space="0" w:color="auto"/>
          </w:divBdr>
        </w:div>
        <w:div w:id="212468097">
          <w:marLeft w:val="0"/>
          <w:marRight w:val="0"/>
          <w:marTop w:val="0"/>
          <w:marBottom w:val="0"/>
          <w:divBdr>
            <w:top w:val="none" w:sz="0" w:space="0" w:color="auto"/>
            <w:left w:val="none" w:sz="0" w:space="0" w:color="auto"/>
            <w:bottom w:val="none" w:sz="0" w:space="0" w:color="auto"/>
            <w:right w:val="none" w:sz="0" w:space="0" w:color="auto"/>
          </w:divBdr>
        </w:div>
        <w:div w:id="1223251095">
          <w:marLeft w:val="0"/>
          <w:marRight w:val="0"/>
          <w:marTop w:val="0"/>
          <w:marBottom w:val="0"/>
          <w:divBdr>
            <w:top w:val="none" w:sz="0" w:space="0" w:color="auto"/>
            <w:left w:val="none" w:sz="0" w:space="0" w:color="auto"/>
            <w:bottom w:val="none" w:sz="0" w:space="0" w:color="auto"/>
            <w:right w:val="none" w:sz="0" w:space="0" w:color="auto"/>
          </w:divBdr>
        </w:div>
        <w:div w:id="1238250175">
          <w:marLeft w:val="0"/>
          <w:marRight w:val="0"/>
          <w:marTop w:val="0"/>
          <w:marBottom w:val="0"/>
          <w:divBdr>
            <w:top w:val="none" w:sz="0" w:space="0" w:color="auto"/>
            <w:left w:val="none" w:sz="0" w:space="0" w:color="auto"/>
            <w:bottom w:val="none" w:sz="0" w:space="0" w:color="auto"/>
            <w:right w:val="none" w:sz="0" w:space="0" w:color="auto"/>
          </w:divBdr>
        </w:div>
        <w:div w:id="1352028998">
          <w:marLeft w:val="0"/>
          <w:marRight w:val="0"/>
          <w:marTop w:val="0"/>
          <w:marBottom w:val="0"/>
          <w:divBdr>
            <w:top w:val="none" w:sz="0" w:space="0" w:color="auto"/>
            <w:left w:val="none" w:sz="0" w:space="0" w:color="auto"/>
            <w:bottom w:val="none" w:sz="0" w:space="0" w:color="auto"/>
            <w:right w:val="none" w:sz="0" w:space="0" w:color="auto"/>
          </w:divBdr>
        </w:div>
        <w:div w:id="864633764">
          <w:marLeft w:val="0"/>
          <w:marRight w:val="0"/>
          <w:marTop w:val="0"/>
          <w:marBottom w:val="0"/>
          <w:divBdr>
            <w:top w:val="none" w:sz="0" w:space="0" w:color="auto"/>
            <w:left w:val="none" w:sz="0" w:space="0" w:color="auto"/>
            <w:bottom w:val="none" w:sz="0" w:space="0" w:color="auto"/>
            <w:right w:val="none" w:sz="0" w:space="0" w:color="auto"/>
          </w:divBdr>
        </w:div>
        <w:div w:id="4287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resources.vic.gov.au/__data/assets/pdf_file/0004/984082/Latrobe-Valley-Regional-Rehabilitation-Strategy-Amendment.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ntactus@mineland.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sources.vic.gov.au/projects/lvrrs" TargetMode="External"/><Relationship Id="rId20" Type="http://schemas.openxmlformats.org/officeDocument/2006/relationships/hyperlink" Target="https://resources.vic.gov.au/__data/assets/pdf_file/0004/1113637/A-study-into-potential-alternative-and-contingency-rehabilitation-options-for-Latrobe-Valley-coal-mine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water.vic.gov.au/our-programs/long-term-water-resource-assessments-and-strategies/latrobe-valley-regional-rehabilitation-strategy"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resources.vic.gov.au/projects/lvrrs"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FD1804A3-C7FA-4901-8A88-817F51EF28F6}">
  <ds:schemaRefs>
    <ds:schemaRef ds:uri="http://schemas.microsoft.com/sharepoint/events"/>
  </ds:schemaRefs>
</ds:datastoreItem>
</file>

<file path=customXml/itemProps2.xml><?xml version="1.0" encoding="utf-8"?>
<ds:datastoreItem xmlns:ds="http://schemas.openxmlformats.org/officeDocument/2006/customXml" ds:itemID="{7D9232D8-1BB3-4BA8-A2D7-F997A319A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181E6-9EFF-4849-B4B7-3D03400179C9}">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4.xml><?xml version="1.0" encoding="utf-8"?>
<ds:datastoreItem xmlns:ds="http://schemas.openxmlformats.org/officeDocument/2006/customXml" ds:itemID="{65250C11-AB1A-491A-9035-B65214EBCC4F}">
  <ds:schemaRefs>
    <ds:schemaRef ds:uri="http://schemas.microsoft.com/sharepoint/v3/contenttype/forms"/>
  </ds:schemaRefs>
</ds:datastoreItem>
</file>

<file path=customXml/itemProps5.xml><?xml version="1.0" encoding="utf-8"?>
<ds:datastoreItem xmlns:ds="http://schemas.openxmlformats.org/officeDocument/2006/customXml" ds:itemID="{7A37E928-DA42-4342-893F-4DAA8F8DD8C0}">
  <ds:schemaRefs>
    <ds:schemaRef ds:uri="http://schemas.openxmlformats.org/officeDocument/2006/bibliography"/>
  </ds:schemaRefs>
</ds:datastoreItem>
</file>

<file path=customXml/itemProps6.xml><?xml version="1.0" encoding="utf-8"?>
<ds:datastoreItem xmlns:ds="http://schemas.openxmlformats.org/officeDocument/2006/customXml" ds:itemID="{03154357-E4E9-4D26-A20B-A895507A669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844</Words>
  <Characters>4817</Characters>
  <Application>Microsoft Office Word</Application>
  <DocSecurity>2</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 Fitzclarence (DEECA)</dc:creator>
  <cp:keywords/>
  <dc:description/>
  <cp:lastModifiedBy>Ruth J Fitzclarence (DEECA)</cp:lastModifiedBy>
  <cp:revision>30</cp:revision>
  <cp:lastPrinted>2024-05-28T22:29:00Z</cp:lastPrinted>
  <dcterms:created xsi:type="dcterms:W3CDTF">2025-09-17T04:06:00Z</dcterms:created>
  <dcterms:modified xsi:type="dcterms:W3CDTF">2025-09-19T06:03:00Z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2025-06-06T05:23:14Z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575e4829-e559-4b91-a8d9-3c0ec9b54f1c</vt:lpwstr>
  </property>
  <property fmtid="{D5CDD505-2E9C-101B-9397-08002B2CF9AE}" pid="10" name="MSIP_Label_4257e2ab-f512-40e2-9c9a-c64247360765_ContentBits">
    <vt:lpwstr>2</vt:lpwstr>
  </property>
</Properties>
</file>