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859E" w14:textId="01D6444A" w:rsidR="00134FF2" w:rsidRPr="00EB3007" w:rsidRDefault="00181E27" w:rsidP="003B45D4">
      <w:pPr>
        <w:spacing w:after="0" w:line="240" w:lineRule="auto"/>
        <w:textAlignment w:val="baseline"/>
        <w:rPr>
          <w:rFonts w:eastAsia="Times New Roman"/>
          <w:color w:val="008189"/>
          <w:sz w:val="22"/>
          <w:lang w:eastAsia="en-AU"/>
        </w:rPr>
      </w:pPr>
      <w:r w:rsidRPr="00181E27">
        <w:rPr>
          <w:rFonts w:eastAsia="Times New Roman"/>
          <w:noProof/>
          <w:color w:val="00B2BA"/>
          <w:sz w:val="22"/>
          <w:lang w:eastAsia="en-AU"/>
        </w:rPr>
        <w:drawing>
          <wp:anchor distT="0" distB="0" distL="114300" distR="114300" simplePos="0" relativeHeight="251658240" behindDoc="1" locked="0" layoutInCell="1" allowOverlap="1" wp14:anchorId="1406725F" wp14:editId="39BA71BF">
            <wp:simplePos x="0" y="0"/>
            <wp:positionH relativeFrom="margin">
              <wp:posOffset>-561975</wp:posOffset>
            </wp:positionH>
            <wp:positionV relativeFrom="paragraph">
              <wp:posOffset>0</wp:posOffset>
            </wp:positionV>
            <wp:extent cx="6677025" cy="8296275"/>
            <wp:effectExtent l="0" t="0" r="9525" b="9525"/>
            <wp:wrapTight wrapText="bothSides">
              <wp:wrapPolygon edited="0">
                <wp:start x="0" y="0"/>
                <wp:lineTo x="0" y="21575"/>
                <wp:lineTo x="21569" y="21575"/>
                <wp:lineTo x="21569" y="0"/>
                <wp:lineTo x="0" y="0"/>
              </wp:wrapPolygon>
            </wp:wrapTight>
            <wp:docPr id="626224377" name="Picture 1" descr="Image of a wheel and an aler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24377" name="Picture 1" descr="Image of a wheel and an alert sign"/>
                    <pic:cNvPicPr/>
                  </pic:nvPicPr>
                  <pic:blipFill>
                    <a:blip r:embed="rId13">
                      <a:extLst>
                        <a:ext uri="{28A0092B-C50C-407E-A947-70E740481C1C}">
                          <a14:useLocalDpi xmlns:a14="http://schemas.microsoft.com/office/drawing/2010/main" val="0"/>
                        </a:ext>
                      </a:extLst>
                    </a:blip>
                    <a:stretch>
                      <a:fillRect/>
                    </a:stretch>
                  </pic:blipFill>
                  <pic:spPr>
                    <a:xfrm>
                      <a:off x="0" y="0"/>
                      <a:ext cx="6677025" cy="8296275"/>
                    </a:xfrm>
                    <a:prstGeom prst="rect">
                      <a:avLst/>
                    </a:prstGeom>
                  </pic:spPr>
                </pic:pic>
              </a:graphicData>
            </a:graphic>
            <wp14:sizeRelH relativeFrom="page">
              <wp14:pctWidth>0</wp14:pctWidth>
            </wp14:sizeRelH>
            <wp14:sizeRelV relativeFrom="page">
              <wp14:pctHeight>0</wp14:pctHeight>
            </wp14:sizeRelV>
          </wp:anchor>
        </w:drawing>
      </w:r>
    </w:p>
    <w:p w14:paraId="294AACB1" w14:textId="77777777" w:rsidR="004C77B2" w:rsidRPr="00EB3007" w:rsidRDefault="004C77B2">
      <w:pPr>
        <w:rPr>
          <w:rFonts w:eastAsia="Times New Roman"/>
          <w:color w:val="008189"/>
          <w:sz w:val="22"/>
          <w:lang w:eastAsia="en-AU"/>
        </w:rPr>
      </w:pPr>
      <w:r w:rsidRPr="00EB3007">
        <w:rPr>
          <w:rFonts w:eastAsia="Times New Roman"/>
          <w:color w:val="008189"/>
          <w:sz w:val="22"/>
          <w:lang w:eastAsia="en-AU"/>
        </w:rPr>
        <w:br w:type="page"/>
      </w:r>
    </w:p>
    <w:p w14:paraId="4D80217B" w14:textId="77777777" w:rsidR="00134FF2" w:rsidRPr="00EB3007" w:rsidRDefault="00134FF2" w:rsidP="003B45D4">
      <w:pPr>
        <w:spacing w:after="0" w:line="240" w:lineRule="auto"/>
        <w:textAlignment w:val="baseline"/>
        <w:rPr>
          <w:rFonts w:eastAsia="Times New Roman"/>
          <w:color w:val="008189"/>
          <w:sz w:val="22"/>
          <w:lang w:eastAsia="en-AU"/>
        </w:rPr>
      </w:pPr>
    </w:p>
    <w:p w14:paraId="7A928964" w14:textId="77777777" w:rsidR="00134FF2" w:rsidRPr="00EB3007" w:rsidRDefault="00134FF2" w:rsidP="003B45D4">
      <w:pPr>
        <w:spacing w:after="0" w:line="240" w:lineRule="auto"/>
        <w:textAlignment w:val="baseline"/>
        <w:rPr>
          <w:rFonts w:eastAsia="Times New Roman"/>
          <w:color w:val="008189"/>
          <w:sz w:val="22"/>
          <w:lang w:eastAsia="en-AU"/>
        </w:rPr>
      </w:pPr>
    </w:p>
    <w:p w14:paraId="075C1DDE" w14:textId="77777777" w:rsidR="00134FF2" w:rsidRPr="00EB3007" w:rsidRDefault="00134FF2" w:rsidP="003B45D4">
      <w:pPr>
        <w:spacing w:after="0" w:line="240" w:lineRule="auto"/>
        <w:textAlignment w:val="baseline"/>
        <w:rPr>
          <w:rFonts w:eastAsia="Times New Roman"/>
          <w:color w:val="008189"/>
          <w:sz w:val="22"/>
          <w:lang w:eastAsia="en-AU"/>
        </w:rPr>
      </w:pPr>
    </w:p>
    <w:p w14:paraId="654C1290" w14:textId="77777777" w:rsidR="00134FF2" w:rsidRPr="00EB3007" w:rsidRDefault="00134FF2" w:rsidP="003B45D4">
      <w:pPr>
        <w:spacing w:after="0" w:line="240" w:lineRule="auto"/>
        <w:textAlignment w:val="baseline"/>
        <w:rPr>
          <w:rFonts w:eastAsia="Times New Roman"/>
          <w:color w:val="008189"/>
          <w:sz w:val="22"/>
          <w:lang w:eastAsia="en-AU"/>
        </w:rPr>
      </w:pPr>
    </w:p>
    <w:p w14:paraId="2AB509E7" w14:textId="77777777" w:rsidR="00134FF2" w:rsidRPr="00EB3007" w:rsidRDefault="00134FF2" w:rsidP="003B45D4">
      <w:pPr>
        <w:spacing w:after="0" w:line="240" w:lineRule="auto"/>
        <w:textAlignment w:val="baseline"/>
        <w:rPr>
          <w:rFonts w:eastAsia="Times New Roman"/>
          <w:color w:val="008189"/>
          <w:sz w:val="22"/>
          <w:lang w:eastAsia="en-AU"/>
        </w:rPr>
      </w:pPr>
    </w:p>
    <w:p w14:paraId="799DAD54" w14:textId="77777777" w:rsidR="00134FF2" w:rsidRPr="00EB3007" w:rsidRDefault="00134FF2" w:rsidP="003B45D4">
      <w:pPr>
        <w:spacing w:after="0" w:line="240" w:lineRule="auto"/>
        <w:textAlignment w:val="baseline"/>
        <w:rPr>
          <w:rFonts w:eastAsia="Times New Roman"/>
          <w:color w:val="008189"/>
          <w:sz w:val="22"/>
          <w:lang w:eastAsia="en-AU"/>
        </w:rPr>
      </w:pPr>
    </w:p>
    <w:p w14:paraId="04F60B69" w14:textId="77777777" w:rsidR="00134FF2" w:rsidRPr="00EB3007" w:rsidRDefault="00134FF2" w:rsidP="003B45D4">
      <w:pPr>
        <w:spacing w:after="0" w:line="240" w:lineRule="auto"/>
        <w:textAlignment w:val="baseline"/>
        <w:rPr>
          <w:rFonts w:eastAsia="Times New Roman"/>
          <w:color w:val="008189"/>
          <w:sz w:val="22"/>
          <w:lang w:eastAsia="en-AU"/>
        </w:rPr>
      </w:pPr>
    </w:p>
    <w:p w14:paraId="1542460C" w14:textId="77777777" w:rsidR="00134FF2" w:rsidRPr="00EB3007" w:rsidRDefault="00134FF2" w:rsidP="003B45D4">
      <w:pPr>
        <w:spacing w:after="0" w:line="240" w:lineRule="auto"/>
        <w:textAlignment w:val="baseline"/>
        <w:rPr>
          <w:rFonts w:eastAsia="Times New Roman"/>
          <w:color w:val="008189"/>
          <w:sz w:val="22"/>
          <w:lang w:eastAsia="en-AU"/>
        </w:rPr>
      </w:pPr>
    </w:p>
    <w:p w14:paraId="3D5411B7" w14:textId="77777777" w:rsidR="00134FF2" w:rsidRPr="00EB3007" w:rsidRDefault="00134FF2" w:rsidP="003B45D4">
      <w:pPr>
        <w:spacing w:after="0" w:line="240" w:lineRule="auto"/>
        <w:textAlignment w:val="baseline"/>
        <w:rPr>
          <w:rFonts w:eastAsia="Times New Roman"/>
          <w:color w:val="008189"/>
          <w:sz w:val="22"/>
          <w:lang w:eastAsia="en-AU"/>
        </w:rPr>
      </w:pPr>
    </w:p>
    <w:p w14:paraId="002E2B56" w14:textId="77777777" w:rsidR="00134FF2" w:rsidRPr="00EB3007" w:rsidRDefault="00134FF2" w:rsidP="003B45D4">
      <w:pPr>
        <w:spacing w:after="0" w:line="240" w:lineRule="auto"/>
        <w:textAlignment w:val="baseline"/>
        <w:rPr>
          <w:rFonts w:eastAsia="Times New Roman"/>
          <w:color w:val="008189"/>
          <w:sz w:val="22"/>
          <w:lang w:eastAsia="en-AU"/>
        </w:rPr>
      </w:pPr>
    </w:p>
    <w:p w14:paraId="744A2D27" w14:textId="763F946E" w:rsidR="003B45D4" w:rsidRPr="00EB3007" w:rsidRDefault="003B45D4" w:rsidP="003B45D4">
      <w:pPr>
        <w:spacing w:after="0" w:line="240" w:lineRule="auto"/>
        <w:textAlignment w:val="baseline"/>
        <w:rPr>
          <w:rFonts w:ascii="Segoe UI" w:eastAsia="Times New Roman" w:hAnsi="Segoe UI" w:cs="Segoe UI"/>
          <w:color w:val="008189"/>
          <w:lang w:eastAsia="en-AU"/>
        </w:rPr>
      </w:pPr>
      <w:r w:rsidRPr="00EB3007">
        <w:rPr>
          <w:rFonts w:eastAsia="Times New Roman"/>
          <w:color w:val="008189"/>
          <w:sz w:val="22"/>
          <w:lang w:eastAsia="en-AU"/>
        </w:rPr>
        <w:t>Approval for Use </w:t>
      </w:r>
    </w:p>
    <w:tbl>
      <w:tblPr>
        <w:tblW w:w="90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90"/>
        <w:gridCol w:w="1731"/>
        <w:gridCol w:w="5874"/>
      </w:tblGrid>
      <w:tr w:rsidR="003B45D4" w:rsidRPr="00740D9E" w14:paraId="5C8B7402" w14:textId="77777777" w:rsidTr="000C197E">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5CB3157F" w14:textId="77777777" w:rsidR="003B45D4" w:rsidRPr="008A3881" w:rsidRDefault="003B45D4"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Title &amp; ID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5D4C8B5E" w14:textId="62D6F718" w:rsidR="003B45D4" w:rsidRPr="008A3881" w:rsidRDefault="000B206F" w:rsidP="002C4B62">
            <w:pPr>
              <w:spacing w:after="0" w:line="240" w:lineRule="auto"/>
              <w:textAlignment w:val="baseline"/>
              <w:rPr>
                <w:rFonts w:eastAsia="Times New Roman" w:cs="Arial"/>
                <w:szCs w:val="20"/>
                <w:lang w:eastAsia="en-AU"/>
              </w:rPr>
            </w:pPr>
            <w:r>
              <w:rPr>
                <w:rFonts w:eastAsia="Times New Roman" w:cs="Arial"/>
                <w:szCs w:val="20"/>
                <w:lang w:eastAsia="en-AU"/>
              </w:rPr>
              <w:t xml:space="preserve">MLRA </w:t>
            </w:r>
            <w:r w:rsidR="003B45D4" w:rsidRPr="002C4B62">
              <w:rPr>
                <w:rFonts w:eastAsia="Times New Roman" w:cs="Arial"/>
                <w:szCs w:val="20"/>
                <w:lang w:eastAsia="en-AU"/>
              </w:rPr>
              <w:t xml:space="preserve">Discussion Paper 01: </w:t>
            </w:r>
            <w:r w:rsidR="000C197E" w:rsidRPr="002C4B62">
              <w:rPr>
                <w:rFonts w:eastAsia="Times New Roman" w:cs="Arial"/>
                <w:szCs w:val="20"/>
                <w:lang w:eastAsia="en-AU"/>
              </w:rPr>
              <w:t>Post Closure Risk Assessment</w:t>
            </w:r>
            <w:r w:rsidR="003B45D4" w:rsidRPr="002C4B62">
              <w:rPr>
                <w:rFonts w:eastAsia="Times New Roman" w:cs="Arial"/>
                <w:szCs w:val="20"/>
                <w:lang w:eastAsia="en-AU"/>
              </w:rPr>
              <w:t> </w:t>
            </w:r>
          </w:p>
        </w:tc>
      </w:tr>
      <w:tr w:rsidR="003B45D4" w:rsidRPr="00740D9E" w14:paraId="471C0C20" w14:textId="77777777" w:rsidTr="000C197E">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6CEE48EA" w14:textId="77777777" w:rsidR="003B45D4" w:rsidRPr="008A3881" w:rsidRDefault="003B45D4"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Classification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0C703132" w14:textId="3F85D355" w:rsidR="003B45D4" w:rsidRPr="008A3881" w:rsidRDefault="003B45D4" w:rsidP="008A3881">
            <w:pPr>
              <w:spacing w:after="0" w:line="240" w:lineRule="auto"/>
              <w:textAlignment w:val="baseline"/>
              <w:rPr>
                <w:rFonts w:eastAsia="Times New Roman" w:cs="Arial"/>
                <w:szCs w:val="20"/>
                <w:lang w:eastAsia="en-AU"/>
              </w:rPr>
            </w:pPr>
            <w:r w:rsidRPr="002C4B62">
              <w:rPr>
                <w:rFonts w:eastAsia="Times New Roman" w:cs="Arial"/>
                <w:szCs w:val="20"/>
                <w:lang w:eastAsia="en-AU"/>
              </w:rPr>
              <w:t xml:space="preserve">External Use </w:t>
            </w:r>
          </w:p>
        </w:tc>
      </w:tr>
      <w:tr w:rsidR="00851FA0" w:rsidRPr="00740D9E" w14:paraId="624221EF" w14:textId="77777777" w:rsidTr="008A3881">
        <w:trPr>
          <w:trHeight w:val="495"/>
        </w:trPr>
        <w:tc>
          <w:tcPr>
            <w:tcW w:w="705"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1A0A13F9" w14:textId="77777777" w:rsidR="00851FA0" w:rsidRPr="008A3881" w:rsidRDefault="00851FA0"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Rev </w:t>
            </w:r>
          </w:p>
        </w:tc>
        <w:tc>
          <w:tcPr>
            <w:tcW w:w="2421" w:type="dxa"/>
            <w:gridSpan w:val="2"/>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0FAD03F6" w14:textId="77777777" w:rsidR="00851FA0" w:rsidRPr="008A3881" w:rsidRDefault="00851FA0"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Date </w:t>
            </w:r>
          </w:p>
        </w:tc>
        <w:tc>
          <w:tcPr>
            <w:tcW w:w="5874"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60A62E11" w14:textId="77777777" w:rsidR="00851FA0" w:rsidRPr="008A3881" w:rsidRDefault="00851FA0"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Approved For Use </w:t>
            </w:r>
          </w:p>
        </w:tc>
      </w:tr>
      <w:tr w:rsidR="005E67CE" w:rsidRPr="00740D9E" w14:paraId="348650D7" w14:textId="77777777" w:rsidTr="008A3881">
        <w:trPr>
          <w:trHeight w:val="840"/>
        </w:trPr>
        <w:tc>
          <w:tcPr>
            <w:tcW w:w="705" w:type="dxa"/>
            <w:tcBorders>
              <w:top w:val="single" w:sz="6" w:space="0" w:color="00DFEA"/>
              <w:left w:val="single" w:sz="6" w:space="0" w:color="00DFEA"/>
              <w:bottom w:val="single" w:sz="6" w:space="0" w:color="00DFEA"/>
              <w:right w:val="single" w:sz="6" w:space="0" w:color="00DFEA"/>
            </w:tcBorders>
            <w:vAlign w:val="center"/>
            <w:hideMark/>
          </w:tcPr>
          <w:p w14:paraId="1E1CACE9" w14:textId="77777777" w:rsidR="005E67CE" w:rsidRPr="008A3881" w:rsidRDefault="005E67CE"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00 </w:t>
            </w:r>
          </w:p>
        </w:tc>
        <w:tc>
          <w:tcPr>
            <w:tcW w:w="2421" w:type="dxa"/>
            <w:gridSpan w:val="2"/>
            <w:tcBorders>
              <w:top w:val="single" w:sz="6" w:space="0" w:color="00DFEA"/>
              <w:left w:val="single" w:sz="6" w:space="0" w:color="00DFEA"/>
              <w:bottom w:val="single" w:sz="6" w:space="0" w:color="00DFEA"/>
              <w:right w:val="single" w:sz="6" w:space="0" w:color="00DFEA"/>
            </w:tcBorders>
            <w:vAlign w:val="center"/>
            <w:hideMark/>
          </w:tcPr>
          <w:p w14:paraId="4D222D60" w14:textId="5E762858" w:rsidR="005E67CE" w:rsidRPr="008A3881" w:rsidRDefault="008A3881" w:rsidP="008A3881">
            <w:pPr>
              <w:spacing w:after="0" w:line="240" w:lineRule="auto"/>
              <w:textAlignment w:val="baseline"/>
              <w:rPr>
                <w:rFonts w:eastAsia="Times New Roman" w:cs="Arial"/>
                <w:szCs w:val="20"/>
                <w:lang w:eastAsia="en-AU"/>
              </w:rPr>
            </w:pPr>
            <w:r>
              <w:rPr>
                <w:rFonts w:eastAsia="Times New Roman" w:cs="Arial"/>
                <w:szCs w:val="20"/>
                <w:lang w:eastAsia="en-AU"/>
              </w:rPr>
              <w:t>1</w:t>
            </w:r>
            <w:r w:rsidR="00C6384E">
              <w:rPr>
                <w:rFonts w:eastAsia="Times New Roman" w:cs="Arial"/>
                <w:szCs w:val="20"/>
                <w:lang w:eastAsia="en-AU"/>
              </w:rPr>
              <w:t>1</w:t>
            </w:r>
            <w:r w:rsidRPr="008A3881">
              <w:rPr>
                <w:rFonts w:eastAsia="Times New Roman" w:cs="Arial"/>
                <w:szCs w:val="20"/>
                <w:vertAlign w:val="superscript"/>
                <w:lang w:eastAsia="en-AU"/>
              </w:rPr>
              <w:t>th</w:t>
            </w:r>
            <w:r>
              <w:rPr>
                <w:rFonts w:eastAsia="Times New Roman" w:cs="Arial"/>
                <w:szCs w:val="20"/>
                <w:lang w:eastAsia="en-AU"/>
              </w:rPr>
              <w:t xml:space="preserve"> December 2025</w:t>
            </w:r>
          </w:p>
        </w:tc>
        <w:tc>
          <w:tcPr>
            <w:tcW w:w="5874" w:type="dxa"/>
            <w:tcBorders>
              <w:top w:val="single" w:sz="6" w:space="0" w:color="00DFEA"/>
              <w:left w:val="single" w:sz="6" w:space="0" w:color="00DFEA"/>
              <w:bottom w:val="single" w:sz="6" w:space="0" w:color="00DFEA"/>
              <w:right w:val="single" w:sz="6" w:space="0" w:color="00DFEA"/>
            </w:tcBorders>
            <w:vAlign w:val="center"/>
            <w:hideMark/>
          </w:tcPr>
          <w:p w14:paraId="47697A51" w14:textId="348BD645" w:rsidR="005E67CE" w:rsidRPr="008A3881" w:rsidRDefault="005E67CE" w:rsidP="008A3881">
            <w:pPr>
              <w:spacing w:after="0" w:line="240" w:lineRule="auto"/>
              <w:textAlignment w:val="baseline"/>
              <w:rPr>
                <w:rFonts w:eastAsia="Times New Roman" w:cs="Arial"/>
                <w:szCs w:val="20"/>
                <w:lang w:eastAsia="en-AU"/>
              </w:rPr>
            </w:pPr>
            <w:r w:rsidRPr="008A3881">
              <w:rPr>
                <w:rFonts w:eastAsia="Times New Roman" w:cs="Arial"/>
                <w:szCs w:val="20"/>
                <w:lang w:eastAsia="en-AU"/>
              </w:rPr>
              <w:t>Antonia Scrase, Technical Director</w:t>
            </w:r>
          </w:p>
        </w:tc>
      </w:tr>
    </w:tbl>
    <w:p w14:paraId="54808041" w14:textId="35B82402" w:rsidR="0026133C" w:rsidRDefault="0026133C" w:rsidP="008A3881">
      <w:pPr>
        <w:spacing w:line="240" w:lineRule="auto"/>
        <w:rPr>
          <w:rFonts w:asciiTheme="majorHAnsi" w:eastAsiaTheme="majorEastAsia" w:hAnsiTheme="majorHAnsi" w:cstheme="majorBidi"/>
          <w:spacing w:val="-10"/>
          <w:kern w:val="28"/>
          <w:sz w:val="56"/>
          <w:szCs w:val="56"/>
        </w:rPr>
      </w:pPr>
    </w:p>
    <w:p w14:paraId="171DAD74" w14:textId="5F1567F6" w:rsidR="000774BA" w:rsidRDefault="007C2EC3" w:rsidP="008C00B8">
      <w:r>
        <w:t xml:space="preserve">The MLRA would like to thank </w:t>
      </w:r>
      <w:r w:rsidR="00234970">
        <w:t>the</w:t>
      </w:r>
      <w:r w:rsidR="004A399F">
        <w:t xml:space="preserve"> following </w:t>
      </w:r>
      <w:r w:rsidR="0089237E">
        <w:t xml:space="preserve">government </w:t>
      </w:r>
      <w:r w:rsidR="006C0932">
        <w:t>reviewe</w:t>
      </w:r>
      <w:r w:rsidR="00234970">
        <w:t>rs</w:t>
      </w:r>
      <w:r w:rsidR="006C0932">
        <w:t>:</w:t>
      </w:r>
    </w:p>
    <w:p w14:paraId="06F3C36D" w14:textId="436A73B2" w:rsidR="00C6384E" w:rsidRDefault="00C6384E" w:rsidP="00134FF2">
      <w:pPr>
        <w:ind w:left="720"/>
      </w:pPr>
      <w:r>
        <w:t xml:space="preserve">DEECA </w:t>
      </w:r>
      <w:r w:rsidR="004A399F">
        <w:t>Resources Victoria</w:t>
      </w:r>
      <w:r w:rsidR="008D6182">
        <w:t>, including:</w:t>
      </w:r>
    </w:p>
    <w:p w14:paraId="48FDEBF4" w14:textId="3F3559B9" w:rsidR="004A399F" w:rsidRDefault="004A399F" w:rsidP="00C6384E">
      <w:pPr>
        <w:ind w:left="1440"/>
      </w:pPr>
      <w:r>
        <w:t xml:space="preserve">Resources Victoria </w:t>
      </w:r>
      <w:r w:rsidR="00443109">
        <w:t>Approvals</w:t>
      </w:r>
      <w:r>
        <w:t xml:space="preserve"> Coordination </w:t>
      </w:r>
    </w:p>
    <w:p w14:paraId="6B8E3652" w14:textId="03AFDA5C" w:rsidR="006C0932" w:rsidRDefault="00C6384E" w:rsidP="00C6384E">
      <w:pPr>
        <w:ind w:left="1440"/>
      </w:pPr>
      <w:r>
        <w:t>Earth Resources</w:t>
      </w:r>
      <w:r w:rsidR="006C0932">
        <w:t xml:space="preserve"> Policy and </w:t>
      </w:r>
      <w:r w:rsidR="00B6540B">
        <w:t>Programs</w:t>
      </w:r>
      <w:r w:rsidR="006C0932">
        <w:t xml:space="preserve"> </w:t>
      </w:r>
    </w:p>
    <w:p w14:paraId="000C854E" w14:textId="35DE9CC1" w:rsidR="007C2EC3" w:rsidRDefault="00C6384E" w:rsidP="00C6384E">
      <w:pPr>
        <w:ind w:left="1440"/>
      </w:pPr>
      <w:r>
        <w:t xml:space="preserve">Regulatory Operations, </w:t>
      </w:r>
      <w:r w:rsidR="007C2EC3">
        <w:t>Technical Services</w:t>
      </w:r>
    </w:p>
    <w:p w14:paraId="03CA0E29" w14:textId="54CCFB66" w:rsidR="0089237E" w:rsidRDefault="0089237E" w:rsidP="00134FF2">
      <w:pPr>
        <w:ind w:left="720"/>
      </w:pPr>
      <w:r>
        <w:t>DEECA Water and Catchments Group</w:t>
      </w:r>
    </w:p>
    <w:p w14:paraId="4D6B0756" w14:textId="77777777" w:rsidR="0089237E" w:rsidRDefault="0089237E" w:rsidP="0089237E"/>
    <w:p w14:paraId="1532570E" w14:textId="77777777" w:rsidR="0089237E" w:rsidRDefault="0089237E" w:rsidP="0089237E"/>
    <w:p w14:paraId="1B0EEB90" w14:textId="77777777" w:rsidR="0089237E" w:rsidRDefault="0089237E" w:rsidP="0089237E">
      <w:pPr>
        <w:sectPr w:rsidR="0089237E" w:rsidSect="00E04D20">
          <w:headerReference w:type="default" r:id="rId14"/>
          <w:footerReference w:type="even" r:id="rId15"/>
          <w:footerReference w:type="default" r:id="rId16"/>
          <w:footerReference w:type="first" r:id="rId17"/>
          <w:pgSz w:w="11906" w:h="16838"/>
          <w:pgMar w:top="1440" w:right="1440" w:bottom="1440" w:left="1440" w:header="709" w:footer="709" w:gutter="0"/>
          <w:pgNumType w:fmt="lowerRoman"/>
          <w:cols w:space="708"/>
          <w:docGrid w:linePitch="360"/>
        </w:sectPr>
      </w:pPr>
    </w:p>
    <w:p w14:paraId="15D8AA33" w14:textId="3E077212" w:rsidR="009211BD" w:rsidRPr="009211BD" w:rsidRDefault="00853123" w:rsidP="00A86353">
      <w:pPr>
        <w:pStyle w:val="Heading1"/>
        <w:numPr>
          <w:ilvl w:val="0"/>
          <w:numId w:val="0"/>
        </w:numPr>
        <w:ind w:left="432" w:hanging="432"/>
      </w:pPr>
      <w:bookmarkStart w:id="0" w:name="_Toc220406999"/>
      <w:r>
        <w:lastRenderedPageBreak/>
        <w:t>Table of Contents</w:t>
      </w:r>
      <w:bookmarkEnd w:id="0"/>
      <w:r>
        <w:t xml:space="preserve"> </w:t>
      </w:r>
    </w:p>
    <w:p w14:paraId="04674B2C" w14:textId="7C1AF12D" w:rsidR="00AC074E" w:rsidRDefault="00853123" w:rsidP="00A820D8">
      <w:pPr>
        <w:pStyle w:val="TOC1"/>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20406999" w:history="1">
        <w:r w:rsidR="00AC074E" w:rsidRPr="00DD0E8D">
          <w:rPr>
            <w:rStyle w:val="Hyperlink"/>
            <w:noProof/>
          </w:rPr>
          <w:t>Table of Contents</w:t>
        </w:r>
        <w:r w:rsidR="00AC074E">
          <w:rPr>
            <w:noProof/>
            <w:webHidden/>
          </w:rPr>
          <w:tab/>
        </w:r>
        <w:r w:rsidR="00AC074E">
          <w:rPr>
            <w:noProof/>
            <w:webHidden/>
          </w:rPr>
          <w:fldChar w:fldCharType="begin"/>
        </w:r>
        <w:r w:rsidR="00AC074E">
          <w:rPr>
            <w:noProof/>
            <w:webHidden/>
          </w:rPr>
          <w:instrText xml:space="preserve"> PAGEREF _Toc220406999 \h </w:instrText>
        </w:r>
        <w:r w:rsidR="00AC074E">
          <w:rPr>
            <w:noProof/>
            <w:webHidden/>
          </w:rPr>
        </w:r>
        <w:r w:rsidR="00AC074E">
          <w:rPr>
            <w:noProof/>
            <w:webHidden/>
          </w:rPr>
          <w:fldChar w:fldCharType="separate"/>
        </w:r>
        <w:r w:rsidR="001C0481">
          <w:rPr>
            <w:noProof/>
            <w:webHidden/>
          </w:rPr>
          <w:t>ii</w:t>
        </w:r>
        <w:r w:rsidR="00AC074E">
          <w:rPr>
            <w:noProof/>
            <w:webHidden/>
          </w:rPr>
          <w:fldChar w:fldCharType="end"/>
        </w:r>
      </w:hyperlink>
    </w:p>
    <w:p w14:paraId="09BB9C4C" w14:textId="14B43D99" w:rsidR="00AC074E" w:rsidRDefault="00AC074E" w:rsidP="00A820D8">
      <w:pPr>
        <w:pStyle w:val="TOC1"/>
        <w:rPr>
          <w:rFonts w:asciiTheme="minorHAnsi" w:eastAsiaTheme="minorEastAsia" w:hAnsiTheme="minorHAnsi"/>
          <w:noProof/>
          <w:sz w:val="24"/>
          <w:szCs w:val="24"/>
          <w:lang w:eastAsia="en-AU"/>
        </w:rPr>
      </w:pPr>
      <w:hyperlink w:anchor="_Toc220407000" w:history="1">
        <w:r w:rsidRPr="00DD0E8D">
          <w:rPr>
            <w:rStyle w:val="Hyperlink"/>
            <w:noProof/>
          </w:rPr>
          <w:t>1.</w:t>
        </w:r>
        <w:r>
          <w:rPr>
            <w:rFonts w:asciiTheme="minorHAnsi" w:eastAsiaTheme="minorEastAsia" w:hAnsiTheme="minorHAnsi"/>
            <w:noProof/>
            <w:sz w:val="24"/>
            <w:szCs w:val="24"/>
            <w:lang w:eastAsia="en-AU"/>
          </w:rPr>
          <w:tab/>
        </w:r>
        <w:r w:rsidRPr="00DD0E8D">
          <w:rPr>
            <w:rStyle w:val="Hyperlink"/>
            <w:noProof/>
          </w:rPr>
          <w:t>Purpose</w:t>
        </w:r>
        <w:r>
          <w:rPr>
            <w:noProof/>
            <w:webHidden/>
          </w:rPr>
          <w:tab/>
        </w:r>
        <w:r>
          <w:rPr>
            <w:noProof/>
            <w:webHidden/>
          </w:rPr>
          <w:fldChar w:fldCharType="begin"/>
        </w:r>
        <w:r>
          <w:rPr>
            <w:noProof/>
            <w:webHidden/>
          </w:rPr>
          <w:instrText xml:space="preserve"> PAGEREF _Toc220407000 \h </w:instrText>
        </w:r>
        <w:r>
          <w:rPr>
            <w:noProof/>
            <w:webHidden/>
          </w:rPr>
        </w:r>
        <w:r>
          <w:rPr>
            <w:noProof/>
            <w:webHidden/>
          </w:rPr>
          <w:fldChar w:fldCharType="separate"/>
        </w:r>
        <w:r w:rsidR="001C0481">
          <w:rPr>
            <w:noProof/>
            <w:webHidden/>
          </w:rPr>
          <w:t>1</w:t>
        </w:r>
        <w:r>
          <w:rPr>
            <w:noProof/>
            <w:webHidden/>
          </w:rPr>
          <w:fldChar w:fldCharType="end"/>
        </w:r>
      </w:hyperlink>
    </w:p>
    <w:p w14:paraId="7D67C3C2" w14:textId="18AC9984" w:rsidR="00AC074E" w:rsidRDefault="00AC074E" w:rsidP="00A820D8">
      <w:pPr>
        <w:pStyle w:val="TOC1"/>
        <w:rPr>
          <w:rFonts w:asciiTheme="minorHAnsi" w:eastAsiaTheme="minorEastAsia" w:hAnsiTheme="minorHAnsi"/>
          <w:noProof/>
          <w:sz w:val="24"/>
          <w:szCs w:val="24"/>
          <w:lang w:eastAsia="en-AU"/>
        </w:rPr>
      </w:pPr>
      <w:hyperlink w:anchor="_Toc220407001" w:history="1">
        <w:r w:rsidRPr="00DD0E8D">
          <w:rPr>
            <w:rStyle w:val="Hyperlink"/>
            <w:noProof/>
          </w:rPr>
          <w:t>2.</w:t>
        </w:r>
        <w:r>
          <w:rPr>
            <w:rFonts w:asciiTheme="minorHAnsi" w:eastAsiaTheme="minorEastAsia" w:hAnsiTheme="minorHAnsi"/>
            <w:noProof/>
            <w:sz w:val="24"/>
            <w:szCs w:val="24"/>
            <w:lang w:eastAsia="en-AU"/>
          </w:rPr>
          <w:tab/>
        </w:r>
        <w:r w:rsidRPr="00DD0E8D">
          <w:rPr>
            <w:rStyle w:val="Hyperlink"/>
            <w:noProof/>
          </w:rPr>
          <w:t>Introduction</w:t>
        </w:r>
        <w:r>
          <w:rPr>
            <w:noProof/>
            <w:webHidden/>
          </w:rPr>
          <w:tab/>
        </w:r>
        <w:r>
          <w:rPr>
            <w:noProof/>
            <w:webHidden/>
          </w:rPr>
          <w:fldChar w:fldCharType="begin"/>
        </w:r>
        <w:r>
          <w:rPr>
            <w:noProof/>
            <w:webHidden/>
          </w:rPr>
          <w:instrText xml:space="preserve"> PAGEREF _Toc220407001 \h </w:instrText>
        </w:r>
        <w:r>
          <w:rPr>
            <w:noProof/>
            <w:webHidden/>
          </w:rPr>
        </w:r>
        <w:r>
          <w:rPr>
            <w:noProof/>
            <w:webHidden/>
          </w:rPr>
          <w:fldChar w:fldCharType="separate"/>
        </w:r>
        <w:r w:rsidR="001C0481">
          <w:rPr>
            <w:noProof/>
            <w:webHidden/>
          </w:rPr>
          <w:t>1</w:t>
        </w:r>
        <w:r>
          <w:rPr>
            <w:noProof/>
            <w:webHidden/>
          </w:rPr>
          <w:fldChar w:fldCharType="end"/>
        </w:r>
      </w:hyperlink>
    </w:p>
    <w:p w14:paraId="10CDD381" w14:textId="3FC6EE0B" w:rsidR="00AC074E" w:rsidRDefault="00AC074E">
      <w:pPr>
        <w:pStyle w:val="TOC2"/>
        <w:rPr>
          <w:rFonts w:asciiTheme="minorHAnsi" w:eastAsiaTheme="minorEastAsia" w:hAnsiTheme="minorHAnsi"/>
          <w:noProof/>
          <w:sz w:val="24"/>
          <w:szCs w:val="24"/>
          <w:lang w:eastAsia="en-AU"/>
        </w:rPr>
      </w:pPr>
      <w:hyperlink w:anchor="_Toc220407002" w:history="1">
        <w:r w:rsidRPr="00DD0E8D">
          <w:rPr>
            <w:rStyle w:val="Hyperlink"/>
            <w:noProof/>
          </w:rPr>
          <w:t>2.1.</w:t>
        </w:r>
        <w:r>
          <w:rPr>
            <w:rFonts w:asciiTheme="minorHAnsi" w:eastAsiaTheme="minorEastAsia" w:hAnsiTheme="minorHAnsi"/>
            <w:noProof/>
            <w:sz w:val="24"/>
            <w:szCs w:val="24"/>
            <w:lang w:eastAsia="en-AU"/>
          </w:rPr>
          <w:tab/>
        </w:r>
        <w:r w:rsidRPr="00DD0E8D">
          <w:rPr>
            <w:rStyle w:val="Hyperlink"/>
            <w:noProof/>
          </w:rPr>
          <w:t>Background</w:t>
        </w:r>
        <w:r>
          <w:rPr>
            <w:noProof/>
            <w:webHidden/>
          </w:rPr>
          <w:tab/>
        </w:r>
        <w:r>
          <w:rPr>
            <w:noProof/>
            <w:webHidden/>
          </w:rPr>
          <w:fldChar w:fldCharType="begin"/>
        </w:r>
        <w:r>
          <w:rPr>
            <w:noProof/>
            <w:webHidden/>
          </w:rPr>
          <w:instrText xml:space="preserve"> PAGEREF _Toc220407002 \h </w:instrText>
        </w:r>
        <w:r>
          <w:rPr>
            <w:noProof/>
            <w:webHidden/>
          </w:rPr>
        </w:r>
        <w:r>
          <w:rPr>
            <w:noProof/>
            <w:webHidden/>
          </w:rPr>
          <w:fldChar w:fldCharType="separate"/>
        </w:r>
        <w:r w:rsidR="001C0481">
          <w:rPr>
            <w:noProof/>
            <w:webHidden/>
          </w:rPr>
          <w:t>2</w:t>
        </w:r>
        <w:r>
          <w:rPr>
            <w:noProof/>
            <w:webHidden/>
          </w:rPr>
          <w:fldChar w:fldCharType="end"/>
        </w:r>
      </w:hyperlink>
    </w:p>
    <w:p w14:paraId="4337B03D" w14:textId="1612C85F" w:rsidR="00AC074E" w:rsidRDefault="00AC074E">
      <w:pPr>
        <w:pStyle w:val="TOC2"/>
        <w:rPr>
          <w:rFonts w:asciiTheme="minorHAnsi" w:eastAsiaTheme="minorEastAsia" w:hAnsiTheme="minorHAnsi"/>
          <w:noProof/>
          <w:sz w:val="24"/>
          <w:szCs w:val="24"/>
          <w:lang w:eastAsia="en-AU"/>
        </w:rPr>
      </w:pPr>
      <w:hyperlink w:anchor="_Toc220407003" w:history="1">
        <w:r w:rsidRPr="00DD0E8D">
          <w:rPr>
            <w:rStyle w:val="Hyperlink"/>
            <w:noProof/>
          </w:rPr>
          <w:t>2.2.</w:t>
        </w:r>
        <w:r>
          <w:rPr>
            <w:rFonts w:asciiTheme="minorHAnsi" w:eastAsiaTheme="minorEastAsia" w:hAnsiTheme="minorHAnsi"/>
            <w:noProof/>
            <w:sz w:val="24"/>
            <w:szCs w:val="24"/>
            <w:lang w:eastAsia="en-AU"/>
          </w:rPr>
          <w:tab/>
        </w:r>
        <w:r w:rsidRPr="00DD0E8D">
          <w:rPr>
            <w:rStyle w:val="Hyperlink"/>
            <w:noProof/>
          </w:rPr>
          <w:t>Disclaimer</w:t>
        </w:r>
        <w:r>
          <w:rPr>
            <w:noProof/>
            <w:webHidden/>
          </w:rPr>
          <w:tab/>
        </w:r>
        <w:r>
          <w:rPr>
            <w:noProof/>
            <w:webHidden/>
          </w:rPr>
          <w:fldChar w:fldCharType="begin"/>
        </w:r>
        <w:r>
          <w:rPr>
            <w:noProof/>
            <w:webHidden/>
          </w:rPr>
          <w:instrText xml:space="preserve"> PAGEREF _Toc220407003 \h </w:instrText>
        </w:r>
        <w:r>
          <w:rPr>
            <w:noProof/>
            <w:webHidden/>
          </w:rPr>
        </w:r>
        <w:r>
          <w:rPr>
            <w:noProof/>
            <w:webHidden/>
          </w:rPr>
          <w:fldChar w:fldCharType="separate"/>
        </w:r>
        <w:r w:rsidR="001C0481">
          <w:rPr>
            <w:noProof/>
            <w:webHidden/>
          </w:rPr>
          <w:t>3</w:t>
        </w:r>
        <w:r>
          <w:rPr>
            <w:noProof/>
            <w:webHidden/>
          </w:rPr>
          <w:fldChar w:fldCharType="end"/>
        </w:r>
      </w:hyperlink>
    </w:p>
    <w:p w14:paraId="4A70ECBA" w14:textId="5D022069" w:rsidR="00AC074E" w:rsidRDefault="00AC074E" w:rsidP="00A820D8">
      <w:pPr>
        <w:pStyle w:val="TOC1"/>
        <w:rPr>
          <w:rFonts w:asciiTheme="minorHAnsi" w:eastAsiaTheme="minorEastAsia" w:hAnsiTheme="minorHAnsi"/>
          <w:noProof/>
          <w:sz w:val="24"/>
          <w:szCs w:val="24"/>
          <w:lang w:eastAsia="en-AU"/>
        </w:rPr>
      </w:pPr>
      <w:hyperlink w:anchor="_Toc220407004" w:history="1">
        <w:r w:rsidRPr="00DD0E8D">
          <w:rPr>
            <w:rStyle w:val="Hyperlink"/>
            <w:noProof/>
          </w:rPr>
          <w:t>3.</w:t>
        </w:r>
        <w:r>
          <w:rPr>
            <w:rFonts w:asciiTheme="minorHAnsi" w:eastAsiaTheme="minorEastAsia" w:hAnsiTheme="minorHAnsi"/>
            <w:noProof/>
            <w:sz w:val="24"/>
            <w:szCs w:val="24"/>
            <w:lang w:eastAsia="en-AU"/>
          </w:rPr>
          <w:tab/>
        </w:r>
        <w:r w:rsidRPr="00DD0E8D">
          <w:rPr>
            <w:rStyle w:val="Hyperlink"/>
            <w:noProof/>
          </w:rPr>
          <w:t>Defining the post closure phase</w:t>
        </w:r>
        <w:r>
          <w:rPr>
            <w:noProof/>
            <w:webHidden/>
          </w:rPr>
          <w:tab/>
        </w:r>
        <w:r>
          <w:rPr>
            <w:noProof/>
            <w:webHidden/>
          </w:rPr>
          <w:fldChar w:fldCharType="begin"/>
        </w:r>
        <w:r>
          <w:rPr>
            <w:noProof/>
            <w:webHidden/>
          </w:rPr>
          <w:instrText xml:space="preserve"> PAGEREF _Toc220407004 \h </w:instrText>
        </w:r>
        <w:r>
          <w:rPr>
            <w:noProof/>
            <w:webHidden/>
          </w:rPr>
        </w:r>
        <w:r>
          <w:rPr>
            <w:noProof/>
            <w:webHidden/>
          </w:rPr>
          <w:fldChar w:fldCharType="separate"/>
        </w:r>
        <w:r w:rsidR="001C0481">
          <w:rPr>
            <w:noProof/>
            <w:webHidden/>
          </w:rPr>
          <w:t>3</w:t>
        </w:r>
        <w:r>
          <w:rPr>
            <w:noProof/>
            <w:webHidden/>
          </w:rPr>
          <w:fldChar w:fldCharType="end"/>
        </w:r>
      </w:hyperlink>
    </w:p>
    <w:p w14:paraId="693669DE" w14:textId="2BDE0C22" w:rsidR="00AC074E" w:rsidRDefault="00AC074E" w:rsidP="00A820D8">
      <w:pPr>
        <w:pStyle w:val="TOC1"/>
        <w:rPr>
          <w:rFonts w:asciiTheme="minorHAnsi" w:eastAsiaTheme="minorEastAsia" w:hAnsiTheme="minorHAnsi"/>
          <w:noProof/>
          <w:sz w:val="24"/>
          <w:szCs w:val="24"/>
          <w:lang w:eastAsia="en-AU"/>
        </w:rPr>
      </w:pPr>
      <w:hyperlink w:anchor="_Toc220407005" w:history="1">
        <w:r w:rsidRPr="00DD0E8D">
          <w:rPr>
            <w:rStyle w:val="Hyperlink"/>
            <w:noProof/>
          </w:rPr>
          <w:t>4.</w:t>
        </w:r>
        <w:r>
          <w:rPr>
            <w:rFonts w:asciiTheme="minorHAnsi" w:eastAsiaTheme="minorEastAsia" w:hAnsiTheme="minorHAnsi"/>
            <w:noProof/>
            <w:sz w:val="24"/>
            <w:szCs w:val="24"/>
            <w:lang w:eastAsia="en-AU"/>
          </w:rPr>
          <w:tab/>
        </w:r>
        <w:r w:rsidRPr="00DD0E8D">
          <w:rPr>
            <w:rStyle w:val="Hyperlink"/>
            <w:noProof/>
          </w:rPr>
          <w:t>What are residual risks and liabilities?</w:t>
        </w:r>
        <w:r>
          <w:rPr>
            <w:noProof/>
            <w:webHidden/>
          </w:rPr>
          <w:tab/>
        </w:r>
        <w:r>
          <w:rPr>
            <w:noProof/>
            <w:webHidden/>
          </w:rPr>
          <w:fldChar w:fldCharType="begin"/>
        </w:r>
        <w:r>
          <w:rPr>
            <w:noProof/>
            <w:webHidden/>
          </w:rPr>
          <w:instrText xml:space="preserve"> PAGEREF _Toc220407005 \h </w:instrText>
        </w:r>
        <w:r>
          <w:rPr>
            <w:noProof/>
            <w:webHidden/>
          </w:rPr>
        </w:r>
        <w:r>
          <w:rPr>
            <w:noProof/>
            <w:webHidden/>
          </w:rPr>
          <w:fldChar w:fldCharType="separate"/>
        </w:r>
        <w:r w:rsidR="001C0481">
          <w:rPr>
            <w:noProof/>
            <w:webHidden/>
          </w:rPr>
          <w:t>4</w:t>
        </w:r>
        <w:r>
          <w:rPr>
            <w:noProof/>
            <w:webHidden/>
          </w:rPr>
          <w:fldChar w:fldCharType="end"/>
        </w:r>
      </w:hyperlink>
    </w:p>
    <w:p w14:paraId="678862BB" w14:textId="6C799956" w:rsidR="00AC074E" w:rsidRDefault="00AC074E" w:rsidP="00A820D8">
      <w:pPr>
        <w:pStyle w:val="TOC1"/>
        <w:rPr>
          <w:rFonts w:asciiTheme="minorHAnsi" w:eastAsiaTheme="minorEastAsia" w:hAnsiTheme="minorHAnsi"/>
          <w:noProof/>
          <w:sz w:val="24"/>
          <w:szCs w:val="24"/>
          <w:lang w:eastAsia="en-AU"/>
        </w:rPr>
      </w:pPr>
      <w:hyperlink w:anchor="_Toc220407006" w:history="1">
        <w:r w:rsidRPr="00DD0E8D">
          <w:rPr>
            <w:rStyle w:val="Hyperlink"/>
            <w:noProof/>
          </w:rPr>
          <w:t>5.</w:t>
        </w:r>
        <w:r>
          <w:rPr>
            <w:rFonts w:asciiTheme="minorHAnsi" w:eastAsiaTheme="minorEastAsia" w:hAnsiTheme="minorHAnsi"/>
            <w:noProof/>
            <w:sz w:val="24"/>
            <w:szCs w:val="24"/>
            <w:lang w:eastAsia="en-AU"/>
          </w:rPr>
          <w:tab/>
        </w:r>
        <w:r w:rsidRPr="00DD0E8D">
          <w:rPr>
            <w:rStyle w:val="Hyperlink"/>
            <w:noProof/>
          </w:rPr>
          <w:t>Key considerations in declared mine residual risk assessments</w:t>
        </w:r>
        <w:r>
          <w:rPr>
            <w:noProof/>
            <w:webHidden/>
          </w:rPr>
          <w:tab/>
        </w:r>
        <w:r>
          <w:rPr>
            <w:noProof/>
            <w:webHidden/>
          </w:rPr>
          <w:fldChar w:fldCharType="begin"/>
        </w:r>
        <w:r>
          <w:rPr>
            <w:noProof/>
            <w:webHidden/>
          </w:rPr>
          <w:instrText xml:space="preserve"> PAGEREF _Toc220407006 \h </w:instrText>
        </w:r>
        <w:r>
          <w:rPr>
            <w:noProof/>
            <w:webHidden/>
          </w:rPr>
        </w:r>
        <w:r>
          <w:rPr>
            <w:noProof/>
            <w:webHidden/>
          </w:rPr>
          <w:fldChar w:fldCharType="separate"/>
        </w:r>
        <w:r w:rsidR="001C0481">
          <w:rPr>
            <w:noProof/>
            <w:webHidden/>
          </w:rPr>
          <w:t>5</w:t>
        </w:r>
        <w:r>
          <w:rPr>
            <w:noProof/>
            <w:webHidden/>
          </w:rPr>
          <w:fldChar w:fldCharType="end"/>
        </w:r>
      </w:hyperlink>
    </w:p>
    <w:p w14:paraId="76408E26" w14:textId="609D6D9E" w:rsidR="00AC074E" w:rsidRDefault="00AC074E">
      <w:pPr>
        <w:pStyle w:val="TOC2"/>
        <w:rPr>
          <w:rFonts w:asciiTheme="minorHAnsi" w:eastAsiaTheme="minorEastAsia" w:hAnsiTheme="minorHAnsi"/>
          <w:noProof/>
          <w:sz w:val="24"/>
          <w:szCs w:val="24"/>
          <w:lang w:eastAsia="en-AU"/>
        </w:rPr>
      </w:pPr>
      <w:hyperlink w:anchor="_Toc220407007" w:history="1">
        <w:r w:rsidRPr="00DD0E8D">
          <w:rPr>
            <w:rStyle w:val="Hyperlink"/>
            <w:noProof/>
          </w:rPr>
          <w:t>5.1.</w:t>
        </w:r>
        <w:r>
          <w:rPr>
            <w:rFonts w:asciiTheme="minorHAnsi" w:eastAsiaTheme="minorEastAsia" w:hAnsiTheme="minorHAnsi"/>
            <w:noProof/>
            <w:sz w:val="24"/>
            <w:szCs w:val="24"/>
            <w:lang w:eastAsia="en-AU"/>
          </w:rPr>
          <w:tab/>
        </w:r>
        <w:r w:rsidRPr="00DD0E8D">
          <w:rPr>
            <w:rStyle w:val="Hyperlink"/>
            <w:noProof/>
          </w:rPr>
          <w:t>Defining the risk appetite</w:t>
        </w:r>
        <w:r>
          <w:rPr>
            <w:noProof/>
            <w:webHidden/>
          </w:rPr>
          <w:tab/>
        </w:r>
        <w:r>
          <w:rPr>
            <w:noProof/>
            <w:webHidden/>
          </w:rPr>
          <w:fldChar w:fldCharType="begin"/>
        </w:r>
        <w:r>
          <w:rPr>
            <w:noProof/>
            <w:webHidden/>
          </w:rPr>
          <w:instrText xml:space="preserve"> PAGEREF _Toc220407007 \h </w:instrText>
        </w:r>
        <w:r>
          <w:rPr>
            <w:noProof/>
            <w:webHidden/>
          </w:rPr>
        </w:r>
        <w:r>
          <w:rPr>
            <w:noProof/>
            <w:webHidden/>
          </w:rPr>
          <w:fldChar w:fldCharType="separate"/>
        </w:r>
        <w:r w:rsidR="001C0481">
          <w:rPr>
            <w:noProof/>
            <w:webHidden/>
          </w:rPr>
          <w:t>5</w:t>
        </w:r>
        <w:r>
          <w:rPr>
            <w:noProof/>
            <w:webHidden/>
          </w:rPr>
          <w:fldChar w:fldCharType="end"/>
        </w:r>
      </w:hyperlink>
    </w:p>
    <w:p w14:paraId="259A4F6D" w14:textId="4C502C22" w:rsidR="00AC074E" w:rsidRDefault="00AC074E">
      <w:pPr>
        <w:pStyle w:val="TOC2"/>
        <w:rPr>
          <w:rFonts w:asciiTheme="minorHAnsi" w:eastAsiaTheme="minorEastAsia" w:hAnsiTheme="minorHAnsi"/>
          <w:noProof/>
          <w:sz w:val="24"/>
          <w:szCs w:val="24"/>
          <w:lang w:eastAsia="en-AU"/>
        </w:rPr>
      </w:pPr>
      <w:hyperlink w:anchor="_Toc220407008" w:history="1">
        <w:r w:rsidRPr="00DD0E8D">
          <w:rPr>
            <w:rStyle w:val="Hyperlink"/>
            <w:noProof/>
          </w:rPr>
          <w:t>5.2.</w:t>
        </w:r>
        <w:r>
          <w:rPr>
            <w:rFonts w:asciiTheme="minorHAnsi" w:eastAsiaTheme="minorEastAsia" w:hAnsiTheme="minorHAnsi"/>
            <w:noProof/>
            <w:sz w:val="24"/>
            <w:szCs w:val="24"/>
            <w:lang w:eastAsia="en-AU"/>
          </w:rPr>
          <w:tab/>
        </w:r>
        <w:r w:rsidRPr="00DD0E8D">
          <w:rPr>
            <w:rStyle w:val="Hyperlink"/>
            <w:noProof/>
          </w:rPr>
          <w:t>Risk Methodology</w:t>
        </w:r>
        <w:r>
          <w:rPr>
            <w:noProof/>
            <w:webHidden/>
          </w:rPr>
          <w:tab/>
        </w:r>
        <w:r>
          <w:rPr>
            <w:noProof/>
            <w:webHidden/>
          </w:rPr>
          <w:fldChar w:fldCharType="begin"/>
        </w:r>
        <w:r>
          <w:rPr>
            <w:noProof/>
            <w:webHidden/>
          </w:rPr>
          <w:instrText xml:space="preserve"> PAGEREF _Toc220407008 \h </w:instrText>
        </w:r>
        <w:r>
          <w:rPr>
            <w:noProof/>
            <w:webHidden/>
          </w:rPr>
        </w:r>
        <w:r>
          <w:rPr>
            <w:noProof/>
            <w:webHidden/>
          </w:rPr>
          <w:fldChar w:fldCharType="separate"/>
        </w:r>
        <w:r w:rsidR="001C0481">
          <w:rPr>
            <w:noProof/>
            <w:webHidden/>
          </w:rPr>
          <w:t>5</w:t>
        </w:r>
        <w:r>
          <w:rPr>
            <w:noProof/>
            <w:webHidden/>
          </w:rPr>
          <w:fldChar w:fldCharType="end"/>
        </w:r>
      </w:hyperlink>
    </w:p>
    <w:p w14:paraId="2BE5D9BF" w14:textId="098F0401" w:rsidR="00AC074E" w:rsidRDefault="00AC074E" w:rsidP="00A820D8">
      <w:pPr>
        <w:pStyle w:val="TOC3"/>
        <w:rPr>
          <w:rFonts w:asciiTheme="minorHAnsi" w:eastAsiaTheme="minorEastAsia" w:hAnsiTheme="minorHAnsi"/>
          <w:noProof/>
          <w:sz w:val="24"/>
          <w:szCs w:val="24"/>
          <w:lang w:eastAsia="en-AU"/>
        </w:rPr>
      </w:pPr>
      <w:hyperlink w:anchor="_Toc220407009" w:history="1">
        <w:r w:rsidRPr="00DD0E8D">
          <w:rPr>
            <w:rStyle w:val="Hyperlink"/>
            <w:noProof/>
          </w:rPr>
          <w:t>5.2.1.</w:t>
        </w:r>
        <w:r>
          <w:rPr>
            <w:rFonts w:asciiTheme="minorHAnsi" w:eastAsiaTheme="minorEastAsia" w:hAnsiTheme="minorHAnsi"/>
            <w:noProof/>
            <w:sz w:val="24"/>
            <w:szCs w:val="24"/>
            <w:lang w:eastAsia="en-AU"/>
          </w:rPr>
          <w:tab/>
        </w:r>
        <w:r w:rsidRPr="00DD0E8D">
          <w:rPr>
            <w:rStyle w:val="Hyperlink"/>
            <w:noProof/>
          </w:rPr>
          <w:t>Risk matrices</w:t>
        </w:r>
        <w:r>
          <w:rPr>
            <w:noProof/>
            <w:webHidden/>
          </w:rPr>
          <w:tab/>
        </w:r>
        <w:r>
          <w:rPr>
            <w:noProof/>
            <w:webHidden/>
          </w:rPr>
          <w:fldChar w:fldCharType="begin"/>
        </w:r>
        <w:r>
          <w:rPr>
            <w:noProof/>
            <w:webHidden/>
          </w:rPr>
          <w:instrText xml:space="preserve"> PAGEREF _Toc220407009 \h </w:instrText>
        </w:r>
        <w:r>
          <w:rPr>
            <w:noProof/>
            <w:webHidden/>
          </w:rPr>
        </w:r>
        <w:r>
          <w:rPr>
            <w:noProof/>
            <w:webHidden/>
          </w:rPr>
          <w:fldChar w:fldCharType="separate"/>
        </w:r>
        <w:r w:rsidR="001C0481">
          <w:rPr>
            <w:noProof/>
            <w:webHidden/>
          </w:rPr>
          <w:t>7</w:t>
        </w:r>
        <w:r>
          <w:rPr>
            <w:noProof/>
            <w:webHidden/>
          </w:rPr>
          <w:fldChar w:fldCharType="end"/>
        </w:r>
      </w:hyperlink>
    </w:p>
    <w:p w14:paraId="2BDF435D" w14:textId="68D93375" w:rsidR="00AC074E" w:rsidRDefault="00AC074E">
      <w:pPr>
        <w:pStyle w:val="TOC2"/>
        <w:rPr>
          <w:rFonts w:asciiTheme="minorHAnsi" w:eastAsiaTheme="minorEastAsia" w:hAnsiTheme="minorHAnsi"/>
          <w:noProof/>
          <w:sz w:val="24"/>
          <w:szCs w:val="24"/>
          <w:lang w:eastAsia="en-AU"/>
        </w:rPr>
      </w:pPr>
      <w:hyperlink w:anchor="_Toc220407010" w:history="1">
        <w:r w:rsidRPr="00DD0E8D">
          <w:rPr>
            <w:rStyle w:val="Hyperlink"/>
            <w:noProof/>
          </w:rPr>
          <w:t>5.3.</w:t>
        </w:r>
        <w:r>
          <w:rPr>
            <w:rFonts w:asciiTheme="minorHAnsi" w:eastAsiaTheme="minorEastAsia" w:hAnsiTheme="minorHAnsi"/>
            <w:noProof/>
            <w:sz w:val="24"/>
            <w:szCs w:val="24"/>
            <w:lang w:eastAsia="en-AU"/>
          </w:rPr>
          <w:tab/>
        </w:r>
        <w:r w:rsidRPr="00DD0E8D">
          <w:rPr>
            <w:rStyle w:val="Hyperlink"/>
            <w:noProof/>
          </w:rPr>
          <w:t>Understanding the starting point</w:t>
        </w:r>
        <w:r>
          <w:rPr>
            <w:noProof/>
            <w:webHidden/>
          </w:rPr>
          <w:tab/>
        </w:r>
        <w:r>
          <w:rPr>
            <w:noProof/>
            <w:webHidden/>
          </w:rPr>
          <w:fldChar w:fldCharType="begin"/>
        </w:r>
        <w:r>
          <w:rPr>
            <w:noProof/>
            <w:webHidden/>
          </w:rPr>
          <w:instrText xml:space="preserve"> PAGEREF _Toc220407010 \h </w:instrText>
        </w:r>
        <w:r>
          <w:rPr>
            <w:noProof/>
            <w:webHidden/>
          </w:rPr>
        </w:r>
        <w:r>
          <w:rPr>
            <w:noProof/>
            <w:webHidden/>
          </w:rPr>
          <w:fldChar w:fldCharType="separate"/>
        </w:r>
        <w:r w:rsidR="001C0481">
          <w:rPr>
            <w:noProof/>
            <w:webHidden/>
          </w:rPr>
          <w:t>7</w:t>
        </w:r>
        <w:r>
          <w:rPr>
            <w:noProof/>
            <w:webHidden/>
          </w:rPr>
          <w:fldChar w:fldCharType="end"/>
        </w:r>
      </w:hyperlink>
    </w:p>
    <w:p w14:paraId="2F280B7F" w14:textId="36BC4EA5" w:rsidR="00AC074E" w:rsidRDefault="00AC074E" w:rsidP="00A820D8">
      <w:pPr>
        <w:pStyle w:val="TOC3"/>
        <w:rPr>
          <w:rFonts w:asciiTheme="minorHAnsi" w:eastAsiaTheme="minorEastAsia" w:hAnsiTheme="minorHAnsi"/>
          <w:noProof/>
          <w:sz w:val="24"/>
          <w:szCs w:val="24"/>
          <w:lang w:eastAsia="en-AU"/>
        </w:rPr>
      </w:pPr>
      <w:hyperlink w:anchor="_Toc220407011" w:history="1">
        <w:r w:rsidRPr="00DD0E8D">
          <w:rPr>
            <w:rStyle w:val="Hyperlink"/>
            <w:noProof/>
          </w:rPr>
          <w:t>5.3.1.</w:t>
        </w:r>
        <w:r>
          <w:rPr>
            <w:rFonts w:asciiTheme="minorHAnsi" w:eastAsiaTheme="minorEastAsia" w:hAnsiTheme="minorHAnsi"/>
            <w:noProof/>
            <w:sz w:val="24"/>
            <w:szCs w:val="24"/>
            <w:lang w:eastAsia="en-AU"/>
          </w:rPr>
          <w:tab/>
        </w:r>
        <w:r w:rsidRPr="00DD0E8D">
          <w:rPr>
            <w:rStyle w:val="Hyperlink"/>
            <w:noProof/>
          </w:rPr>
          <w:t>Developing a Conceptual Site Model</w:t>
        </w:r>
        <w:r>
          <w:rPr>
            <w:noProof/>
            <w:webHidden/>
          </w:rPr>
          <w:tab/>
        </w:r>
        <w:r>
          <w:rPr>
            <w:noProof/>
            <w:webHidden/>
          </w:rPr>
          <w:fldChar w:fldCharType="begin"/>
        </w:r>
        <w:r>
          <w:rPr>
            <w:noProof/>
            <w:webHidden/>
          </w:rPr>
          <w:instrText xml:space="preserve"> PAGEREF _Toc220407011 \h </w:instrText>
        </w:r>
        <w:r>
          <w:rPr>
            <w:noProof/>
            <w:webHidden/>
          </w:rPr>
        </w:r>
        <w:r>
          <w:rPr>
            <w:noProof/>
            <w:webHidden/>
          </w:rPr>
          <w:fldChar w:fldCharType="separate"/>
        </w:r>
        <w:r w:rsidR="001C0481">
          <w:rPr>
            <w:noProof/>
            <w:webHidden/>
          </w:rPr>
          <w:t>8</w:t>
        </w:r>
        <w:r>
          <w:rPr>
            <w:noProof/>
            <w:webHidden/>
          </w:rPr>
          <w:fldChar w:fldCharType="end"/>
        </w:r>
      </w:hyperlink>
    </w:p>
    <w:p w14:paraId="2E4DD045" w14:textId="3A1011FD" w:rsidR="00AC074E" w:rsidRDefault="00AC074E" w:rsidP="00A820D8">
      <w:pPr>
        <w:pStyle w:val="TOC3"/>
        <w:rPr>
          <w:rFonts w:asciiTheme="minorHAnsi" w:eastAsiaTheme="minorEastAsia" w:hAnsiTheme="minorHAnsi"/>
          <w:noProof/>
          <w:sz w:val="24"/>
          <w:szCs w:val="24"/>
          <w:lang w:eastAsia="en-AU"/>
        </w:rPr>
      </w:pPr>
      <w:hyperlink w:anchor="_Toc220407012" w:history="1">
        <w:r w:rsidRPr="00DD0E8D">
          <w:rPr>
            <w:rStyle w:val="Hyperlink"/>
            <w:noProof/>
          </w:rPr>
          <w:t>5.3.2.</w:t>
        </w:r>
        <w:r>
          <w:rPr>
            <w:rFonts w:asciiTheme="minorHAnsi" w:eastAsiaTheme="minorEastAsia" w:hAnsiTheme="minorHAnsi"/>
            <w:noProof/>
            <w:sz w:val="24"/>
            <w:szCs w:val="24"/>
            <w:lang w:eastAsia="en-AU"/>
          </w:rPr>
          <w:tab/>
        </w:r>
        <w:r w:rsidRPr="00DD0E8D">
          <w:rPr>
            <w:rStyle w:val="Hyperlink"/>
            <w:noProof/>
          </w:rPr>
          <w:t>Understanding post closure timeframes</w:t>
        </w:r>
        <w:r>
          <w:rPr>
            <w:noProof/>
            <w:webHidden/>
          </w:rPr>
          <w:tab/>
        </w:r>
        <w:r>
          <w:rPr>
            <w:noProof/>
            <w:webHidden/>
          </w:rPr>
          <w:fldChar w:fldCharType="begin"/>
        </w:r>
        <w:r>
          <w:rPr>
            <w:noProof/>
            <w:webHidden/>
          </w:rPr>
          <w:instrText xml:space="preserve"> PAGEREF _Toc220407012 \h </w:instrText>
        </w:r>
        <w:r>
          <w:rPr>
            <w:noProof/>
            <w:webHidden/>
          </w:rPr>
        </w:r>
        <w:r>
          <w:rPr>
            <w:noProof/>
            <w:webHidden/>
          </w:rPr>
          <w:fldChar w:fldCharType="separate"/>
        </w:r>
        <w:r w:rsidR="001C0481">
          <w:rPr>
            <w:noProof/>
            <w:webHidden/>
          </w:rPr>
          <w:t>9</w:t>
        </w:r>
        <w:r>
          <w:rPr>
            <w:noProof/>
            <w:webHidden/>
          </w:rPr>
          <w:fldChar w:fldCharType="end"/>
        </w:r>
      </w:hyperlink>
    </w:p>
    <w:p w14:paraId="7A3BA554" w14:textId="2674D5E9" w:rsidR="00AC074E" w:rsidRDefault="00AC074E">
      <w:pPr>
        <w:pStyle w:val="TOC2"/>
        <w:rPr>
          <w:rFonts w:asciiTheme="minorHAnsi" w:eastAsiaTheme="minorEastAsia" w:hAnsiTheme="minorHAnsi"/>
          <w:noProof/>
          <w:sz w:val="24"/>
          <w:szCs w:val="24"/>
          <w:lang w:eastAsia="en-AU"/>
        </w:rPr>
      </w:pPr>
      <w:hyperlink w:anchor="_Toc220407013" w:history="1">
        <w:r w:rsidRPr="00DD0E8D">
          <w:rPr>
            <w:rStyle w:val="Hyperlink"/>
            <w:noProof/>
          </w:rPr>
          <w:t>5.4.</w:t>
        </w:r>
        <w:r>
          <w:rPr>
            <w:rFonts w:asciiTheme="minorHAnsi" w:eastAsiaTheme="minorEastAsia" w:hAnsiTheme="minorHAnsi"/>
            <w:noProof/>
            <w:sz w:val="24"/>
            <w:szCs w:val="24"/>
            <w:lang w:eastAsia="en-AU"/>
          </w:rPr>
          <w:tab/>
        </w:r>
        <w:r w:rsidRPr="00DD0E8D">
          <w:rPr>
            <w:rStyle w:val="Hyperlink"/>
            <w:noProof/>
          </w:rPr>
          <w:t>Risk identification</w:t>
        </w:r>
        <w:r>
          <w:rPr>
            <w:noProof/>
            <w:webHidden/>
          </w:rPr>
          <w:tab/>
        </w:r>
        <w:r>
          <w:rPr>
            <w:noProof/>
            <w:webHidden/>
          </w:rPr>
          <w:fldChar w:fldCharType="begin"/>
        </w:r>
        <w:r>
          <w:rPr>
            <w:noProof/>
            <w:webHidden/>
          </w:rPr>
          <w:instrText xml:space="preserve"> PAGEREF _Toc220407013 \h </w:instrText>
        </w:r>
        <w:r>
          <w:rPr>
            <w:noProof/>
            <w:webHidden/>
          </w:rPr>
        </w:r>
        <w:r>
          <w:rPr>
            <w:noProof/>
            <w:webHidden/>
          </w:rPr>
          <w:fldChar w:fldCharType="separate"/>
        </w:r>
        <w:r w:rsidR="001C0481">
          <w:rPr>
            <w:noProof/>
            <w:webHidden/>
          </w:rPr>
          <w:t>9</w:t>
        </w:r>
        <w:r>
          <w:rPr>
            <w:noProof/>
            <w:webHidden/>
          </w:rPr>
          <w:fldChar w:fldCharType="end"/>
        </w:r>
      </w:hyperlink>
    </w:p>
    <w:p w14:paraId="5D42858B" w14:textId="6AEAD8A3" w:rsidR="00AC074E" w:rsidRDefault="00AC074E" w:rsidP="00A820D8">
      <w:pPr>
        <w:pStyle w:val="TOC3"/>
        <w:rPr>
          <w:rFonts w:asciiTheme="minorHAnsi" w:eastAsiaTheme="minorEastAsia" w:hAnsiTheme="minorHAnsi"/>
          <w:noProof/>
          <w:sz w:val="24"/>
          <w:szCs w:val="24"/>
          <w:lang w:eastAsia="en-AU"/>
        </w:rPr>
      </w:pPr>
      <w:hyperlink w:anchor="_Toc220407014" w:history="1">
        <w:r w:rsidRPr="00DD0E8D">
          <w:rPr>
            <w:rStyle w:val="Hyperlink"/>
            <w:noProof/>
          </w:rPr>
          <w:t>5.4.1.</w:t>
        </w:r>
        <w:r>
          <w:rPr>
            <w:rFonts w:asciiTheme="minorHAnsi" w:eastAsiaTheme="minorEastAsia" w:hAnsiTheme="minorHAnsi"/>
            <w:noProof/>
            <w:sz w:val="24"/>
            <w:szCs w:val="24"/>
            <w:lang w:eastAsia="en-AU"/>
          </w:rPr>
          <w:tab/>
        </w:r>
        <w:r w:rsidRPr="00DD0E8D">
          <w:rPr>
            <w:rStyle w:val="Hyperlink"/>
            <w:noProof/>
          </w:rPr>
          <w:t>Final landform – new and existing sources/ hazards</w:t>
        </w:r>
        <w:r>
          <w:rPr>
            <w:noProof/>
            <w:webHidden/>
          </w:rPr>
          <w:tab/>
        </w:r>
        <w:r>
          <w:rPr>
            <w:noProof/>
            <w:webHidden/>
          </w:rPr>
          <w:fldChar w:fldCharType="begin"/>
        </w:r>
        <w:r>
          <w:rPr>
            <w:noProof/>
            <w:webHidden/>
          </w:rPr>
          <w:instrText xml:space="preserve"> PAGEREF _Toc220407014 \h </w:instrText>
        </w:r>
        <w:r>
          <w:rPr>
            <w:noProof/>
            <w:webHidden/>
          </w:rPr>
        </w:r>
        <w:r>
          <w:rPr>
            <w:noProof/>
            <w:webHidden/>
          </w:rPr>
          <w:fldChar w:fldCharType="separate"/>
        </w:r>
        <w:r w:rsidR="001C0481">
          <w:rPr>
            <w:noProof/>
            <w:webHidden/>
          </w:rPr>
          <w:t>9</w:t>
        </w:r>
        <w:r>
          <w:rPr>
            <w:noProof/>
            <w:webHidden/>
          </w:rPr>
          <w:fldChar w:fldCharType="end"/>
        </w:r>
      </w:hyperlink>
    </w:p>
    <w:p w14:paraId="5C0A136A" w14:textId="01409150" w:rsidR="00AC074E" w:rsidRDefault="00AC074E" w:rsidP="00A820D8">
      <w:pPr>
        <w:pStyle w:val="TOC3"/>
        <w:rPr>
          <w:rFonts w:asciiTheme="minorHAnsi" w:eastAsiaTheme="minorEastAsia" w:hAnsiTheme="minorHAnsi"/>
          <w:noProof/>
          <w:sz w:val="24"/>
          <w:szCs w:val="24"/>
          <w:lang w:eastAsia="en-AU"/>
        </w:rPr>
      </w:pPr>
      <w:hyperlink w:anchor="_Toc220407015" w:history="1">
        <w:r w:rsidRPr="00DD0E8D">
          <w:rPr>
            <w:rStyle w:val="Hyperlink"/>
            <w:noProof/>
          </w:rPr>
          <w:t>5.4.2.</w:t>
        </w:r>
        <w:r>
          <w:rPr>
            <w:rFonts w:asciiTheme="minorHAnsi" w:eastAsiaTheme="minorEastAsia" w:hAnsiTheme="minorHAnsi"/>
            <w:noProof/>
            <w:sz w:val="24"/>
            <w:szCs w:val="24"/>
            <w:lang w:eastAsia="en-AU"/>
          </w:rPr>
          <w:tab/>
        </w:r>
        <w:r w:rsidRPr="00DD0E8D">
          <w:rPr>
            <w:rStyle w:val="Hyperlink"/>
            <w:noProof/>
          </w:rPr>
          <w:t>Pathway changes over time</w:t>
        </w:r>
        <w:r>
          <w:rPr>
            <w:noProof/>
            <w:webHidden/>
          </w:rPr>
          <w:tab/>
        </w:r>
        <w:r>
          <w:rPr>
            <w:noProof/>
            <w:webHidden/>
          </w:rPr>
          <w:fldChar w:fldCharType="begin"/>
        </w:r>
        <w:r>
          <w:rPr>
            <w:noProof/>
            <w:webHidden/>
          </w:rPr>
          <w:instrText xml:space="preserve"> PAGEREF _Toc220407015 \h </w:instrText>
        </w:r>
        <w:r>
          <w:rPr>
            <w:noProof/>
            <w:webHidden/>
          </w:rPr>
        </w:r>
        <w:r>
          <w:rPr>
            <w:noProof/>
            <w:webHidden/>
          </w:rPr>
          <w:fldChar w:fldCharType="separate"/>
        </w:r>
        <w:r w:rsidR="001C0481">
          <w:rPr>
            <w:noProof/>
            <w:webHidden/>
          </w:rPr>
          <w:t>9</w:t>
        </w:r>
        <w:r>
          <w:rPr>
            <w:noProof/>
            <w:webHidden/>
          </w:rPr>
          <w:fldChar w:fldCharType="end"/>
        </w:r>
      </w:hyperlink>
    </w:p>
    <w:p w14:paraId="0997B542" w14:textId="725FEFA8" w:rsidR="00AC074E" w:rsidRDefault="00AC074E" w:rsidP="00A820D8">
      <w:pPr>
        <w:pStyle w:val="TOC3"/>
        <w:rPr>
          <w:rFonts w:asciiTheme="minorHAnsi" w:eastAsiaTheme="minorEastAsia" w:hAnsiTheme="minorHAnsi"/>
          <w:noProof/>
          <w:sz w:val="24"/>
          <w:szCs w:val="24"/>
          <w:lang w:eastAsia="en-AU"/>
        </w:rPr>
      </w:pPr>
      <w:hyperlink w:anchor="_Toc220407016" w:history="1">
        <w:r w:rsidRPr="00DD0E8D">
          <w:rPr>
            <w:rStyle w:val="Hyperlink"/>
            <w:noProof/>
          </w:rPr>
          <w:t>5.4.3.</w:t>
        </w:r>
        <w:r>
          <w:rPr>
            <w:rFonts w:asciiTheme="minorHAnsi" w:eastAsiaTheme="minorEastAsia" w:hAnsiTheme="minorHAnsi"/>
            <w:noProof/>
            <w:sz w:val="24"/>
            <w:szCs w:val="24"/>
            <w:lang w:eastAsia="en-AU"/>
          </w:rPr>
          <w:tab/>
        </w:r>
        <w:r w:rsidRPr="00DD0E8D">
          <w:rPr>
            <w:rStyle w:val="Hyperlink"/>
            <w:noProof/>
          </w:rPr>
          <w:t>Changing Sensitive receptors</w:t>
        </w:r>
        <w:r>
          <w:rPr>
            <w:noProof/>
            <w:webHidden/>
          </w:rPr>
          <w:tab/>
        </w:r>
        <w:r>
          <w:rPr>
            <w:noProof/>
            <w:webHidden/>
          </w:rPr>
          <w:fldChar w:fldCharType="begin"/>
        </w:r>
        <w:r>
          <w:rPr>
            <w:noProof/>
            <w:webHidden/>
          </w:rPr>
          <w:instrText xml:space="preserve"> PAGEREF _Toc220407016 \h </w:instrText>
        </w:r>
        <w:r>
          <w:rPr>
            <w:noProof/>
            <w:webHidden/>
          </w:rPr>
        </w:r>
        <w:r>
          <w:rPr>
            <w:noProof/>
            <w:webHidden/>
          </w:rPr>
          <w:fldChar w:fldCharType="separate"/>
        </w:r>
        <w:r w:rsidR="001C0481">
          <w:rPr>
            <w:noProof/>
            <w:webHidden/>
          </w:rPr>
          <w:t>9</w:t>
        </w:r>
        <w:r>
          <w:rPr>
            <w:noProof/>
            <w:webHidden/>
          </w:rPr>
          <w:fldChar w:fldCharType="end"/>
        </w:r>
      </w:hyperlink>
    </w:p>
    <w:p w14:paraId="1C116019" w14:textId="144C80BD" w:rsidR="00AC074E" w:rsidRDefault="00AC074E" w:rsidP="00A820D8">
      <w:pPr>
        <w:pStyle w:val="TOC3"/>
        <w:rPr>
          <w:rFonts w:asciiTheme="minorHAnsi" w:eastAsiaTheme="minorEastAsia" w:hAnsiTheme="minorHAnsi"/>
          <w:noProof/>
          <w:sz w:val="24"/>
          <w:szCs w:val="24"/>
          <w:lang w:eastAsia="en-AU"/>
        </w:rPr>
      </w:pPr>
      <w:hyperlink w:anchor="_Toc220407017" w:history="1">
        <w:r w:rsidRPr="00DD0E8D">
          <w:rPr>
            <w:rStyle w:val="Hyperlink"/>
            <w:noProof/>
          </w:rPr>
          <w:t>5.4.4.</w:t>
        </w:r>
        <w:r>
          <w:rPr>
            <w:rFonts w:asciiTheme="minorHAnsi" w:eastAsiaTheme="minorEastAsia" w:hAnsiTheme="minorHAnsi"/>
            <w:noProof/>
            <w:sz w:val="24"/>
            <w:szCs w:val="24"/>
            <w:lang w:eastAsia="en-AU"/>
          </w:rPr>
          <w:tab/>
        </w:r>
        <w:r w:rsidRPr="00DD0E8D">
          <w:rPr>
            <w:rStyle w:val="Hyperlink"/>
            <w:noProof/>
          </w:rPr>
          <w:t>Changes to the landform over time</w:t>
        </w:r>
        <w:r>
          <w:rPr>
            <w:noProof/>
            <w:webHidden/>
          </w:rPr>
          <w:tab/>
        </w:r>
        <w:r>
          <w:rPr>
            <w:noProof/>
            <w:webHidden/>
          </w:rPr>
          <w:fldChar w:fldCharType="begin"/>
        </w:r>
        <w:r>
          <w:rPr>
            <w:noProof/>
            <w:webHidden/>
          </w:rPr>
          <w:instrText xml:space="preserve"> PAGEREF _Toc220407017 \h </w:instrText>
        </w:r>
        <w:r>
          <w:rPr>
            <w:noProof/>
            <w:webHidden/>
          </w:rPr>
        </w:r>
        <w:r>
          <w:rPr>
            <w:noProof/>
            <w:webHidden/>
          </w:rPr>
          <w:fldChar w:fldCharType="separate"/>
        </w:r>
        <w:r w:rsidR="001C0481">
          <w:rPr>
            <w:noProof/>
            <w:webHidden/>
          </w:rPr>
          <w:t>10</w:t>
        </w:r>
        <w:r>
          <w:rPr>
            <w:noProof/>
            <w:webHidden/>
          </w:rPr>
          <w:fldChar w:fldCharType="end"/>
        </w:r>
      </w:hyperlink>
    </w:p>
    <w:p w14:paraId="61A05E9F" w14:textId="7B0057CA" w:rsidR="00AC074E" w:rsidRDefault="00AC074E" w:rsidP="00A820D8">
      <w:pPr>
        <w:pStyle w:val="TOC3"/>
        <w:rPr>
          <w:rFonts w:asciiTheme="minorHAnsi" w:eastAsiaTheme="minorEastAsia" w:hAnsiTheme="minorHAnsi"/>
          <w:noProof/>
          <w:sz w:val="24"/>
          <w:szCs w:val="24"/>
          <w:lang w:eastAsia="en-AU"/>
        </w:rPr>
      </w:pPr>
      <w:hyperlink w:anchor="_Toc220407018" w:history="1">
        <w:r w:rsidRPr="00DD0E8D">
          <w:rPr>
            <w:rStyle w:val="Hyperlink"/>
            <w:noProof/>
          </w:rPr>
          <w:t>5.4.5.</w:t>
        </w:r>
        <w:r>
          <w:rPr>
            <w:rFonts w:asciiTheme="minorHAnsi" w:eastAsiaTheme="minorEastAsia" w:hAnsiTheme="minorHAnsi"/>
            <w:noProof/>
            <w:sz w:val="24"/>
            <w:szCs w:val="24"/>
            <w:lang w:eastAsia="en-AU"/>
          </w:rPr>
          <w:tab/>
        </w:r>
        <w:r w:rsidRPr="00DD0E8D">
          <w:rPr>
            <w:rStyle w:val="Hyperlink"/>
            <w:noProof/>
          </w:rPr>
          <w:t>Climate change and exceedance events</w:t>
        </w:r>
        <w:r>
          <w:rPr>
            <w:noProof/>
            <w:webHidden/>
          </w:rPr>
          <w:tab/>
        </w:r>
        <w:r>
          <w:rPr>
            <w:noProof/>
            <w:webHidden/>
          </w:rPr>
          <w:fldChar w:fldCharType="begin"/>
        </w:r>
        <w:r>
          <w:rPr>
            <w:noProof/>
            <w:webHidden/>
          </w:rPr>
          <w:instrText xml:space="preserve"> PAGEREF _Toc220407018 \h </w:instrText>
        </w:r>
        <w:r>
          <w:rPr>
            <w:noProof/>
            <w:webHidden/>
          </w:rPr>
        </w:r>
        <w:r>
          <w:rPr>
            <w:noProof/>
            <w:webHidden/>
          </w:rPr>
          <w:fldChar w:fldCharType="separate"/>
        </w:r>
        <w:r w:rsidR="001C0481">
          <w:rPr>
            <w:noProof/>
            <w:webHidden/>
          </w:rPr>
          <w:t>11</w:t>
        </w:r>
        <w:r>
          <w:rPr>
            <w:noProof/>
            <w:webHidden/>
          </w:rPr>
          <w:fldChar w:fldCharType="end"/>
        </w:r>
      </w:hyperlink>
    </w:p>
    <w:p w14:paraId="605AD4CC" w14:textId="1FC72CA1" w:rsidR="00AC074E" w:rsidRDefault="00AC074E">
      <w:pPr>
        <w:pStyle w:val="TOC2"/>
        <w:rPr>
          <w:rFonts w:asciiTheme="minorHAnsi" w:eastAsiaTheme="minorEastAsia" w:hAnsiTheme="minorHAnsi"/>
          <w:noProof/>
          <w:sz w:val="24"/>
          <w:szCs w:val="24"/>
          <w:lang w:eastAsia="en-AU"/>
        </w:rPr>
      </w:pPr>
      <w:hyperlink w:anchor="_Toc220407019" w:history="1">
        <w:r w:rsidRPr="00DD0E8D">
          <w:rPr>
            <w:rStyle w:val="Hyperlink"/>
            <w:noProof/>
          </w:rPr>
          <w:t>5.5.</w:t>
        </w:r>
        <w:r>
          <w:rPr>
            <w:rFonts w:asciiTheme="minorHAnsi" w:eastAsiaTheme="minorEastAsia" w:hAnsiTheme="minorHAnsi"/>
            <w:noProof/>
            <w:sz w:val="24"/>
            <w:szCs w:val="24"/>
            <w:lang w:eastAsia="en-AU"/>
          </w:rPr>
          <w:tab/>
        </w:r>
        <w:r w:rsidRPr="00DD0E8D">
          <w:rPr>
            <w:rStyle w:val="Hyperlink"/>
            <w:noProof/>
          </w:rPr>
          <w:t>Risk analysis and evaluation</w:t>
        </w:r>
        <w:r>
          <w:rPr>
            <w:noProof/>
            <w:webHidden/>
          </w:rPr>
          <w:tab/>
        </w:r>
        <w:r>
          <w:rPr>
            <w:noProof/>
            <w:webHidden/>
          </w:rPr>
          <w:fldChar w:fldCharType="begin"/>
        </w:r>
        <w:r>
          <w:rPr>
            <w:noProof/>
            <w:webHidden/>
          </w:rPr>
          <w:instrText xml:space="preserve"> PAGEREF _Toc220407019 \h </w:instrText>
        </w:r>
        <w:r>
          <w:rPr>
            <w:noProof/>
            <w:webHidden/>
          </w:rPr>
        </w:r>
        <w:r>
          <w:rPr>
            <w:noProof/>
            <w:webHidden/>
          </w:rPr>
          <w:fldChar w:fldCharType="separate"/>
        </w:r>
        <w:r w:rsidR="001C0481">
          <w:rPr>
            <w:noProof/>
            <w:webHidden/>
          </w:rPr>
          <w:t>11</w:t>
        </w:r>
        <w:r>
          <w:rPr>
            <w:noProof/>
            <w:webHidden/>
          </w:rPr>
          <w:fldChar w:fldCharType="end"/>
        </w:r>
      </w:hyperlink>
    </w:p>
    <w:p w14:paraId="17A28A8D" w14:textId="417A2BA3" w:rsidR="00AC074E" w:rsidRDefault="00AC074E">
      <w:pPr>
        <w:pStyle w:val="TOC2"/>
        <w:rPr>
          <w:rFonts w:asciiTheme="minorHAnsi" w:eastAsiaTheme="minorEastAsia" w:hAnsiTheme="minorHAnsi"/>
          <w:noProof/>
          <w:sz w:val="24"/>
          <w:szCs w:val="24"/>
          <w:lang w:eastAsia="en-AU"/>
        </w:rPr>
      </w:pPr>
      <w:hyperlink w:anchor="_Toc220407020" w:history="1">
        <w:r w:rsidRPr="00DD0E8D">
          <w:rPr>
            <w:rStyle w:val="Hyperlink"/>
            <w:noProof/>
          </w:rPr>
          <w:t>5.6.</w:t>
        </w:r>
        <w:r>
          <w:rPr>
            <w:rFonts w:asciiTheme="minorHAnsi" w:eastAsiaTheme="minorEastAsia" w:hAnsiTheme="minorHAnsi"/>
            <w:noProof/>
            <w:sz w:val="24"/>
            <w:szCs w:val="24"/>
            <w:lang w:eastAsia="en-AU"/>
          </w:rPr>
          <w:tab/>
        </w:r>
        <w:r w:rsidRPr="00DD0E8D">
          <w:rPr>
            <w:rStyle w:val="Hyperlink"/>
            <w:noProof/>
          </w:rPr>
          <w:t>Controls, mitigations and management</w:t>
        </w:r>
        <w:r>
          <w:rPr>
            <w:noProof/>
            <w:webHidden/>
          </w:rPr>
          <w:tab/>
        </w:r>
        <w:r>
          <w:rPr>
            <w:noProof/>
            <w:webHidden/>
          </w:rPr>
          <w:fldChar w:fldCharType="begin"/>
        </w:r>
        <w:r>
          <w:rPr>
            <w:noProof/>
            <w:webHidden/>
          </w:rPr>
          <w:instrText xml:space="preserve"> PAGEREF _Toc220407020 \h </w:instrText>
        </w:r>
        <w:r>
          <w:rPr>
            <w:noProof/>
            <w:webHidden/>
          </w:rPr>
        </w:r>
        <w:r>
          <w:rPr>
            <w:noProof/>
            <w:webHidden/>
          </w:rPr>
          <w:fldChar w:fldCharType="separate"/>
        </w:r>
        <w:r w:rsidR="001C0481">
          <w:rPr>
            <w:noProof/>
            <w:webHidden/>
          </w:rPr>
          <w:t>11</w:t>
        </w:r>
        <w:r>
          <w:rPr>
            <w:noProof/>
            <w:webHidden/>
          </w:rPr>
          <w:fldChar w:fldCharType="end"/>
        </w:r>
      </w:hyperlink>
    </w:p>
    <w:p w14:paraId="51AA010A" w14:textId="2DEE6E5B" w:rsidR="00AC074E" w:rsidRDefault="00AC074E">
      <w:pPr>
        <w:pStyle w:val="TOC2"/>
        <w:rPr>
          <w:rFonts w:asciiTheme="minorHAnsi" w:eastAsiaTheme="minorEastAsia" w:hAnsiTheme="minorHAnsi"/>
          <w:noProof/>
          <w:sz w:val="24"/>
          <w:szCs w:val="24"/>
          <w:lang w:eastAsia="en-AU"/>
        </w:rPr>
      </w:pPr>
      <w:hyperlink w:anchor="_Toc220407021" w:history="1">
        <w:r w:rsidRPr="00DD0E8D">
          <w:rPr>
            <w:rStyle w:val="Hyperlink"/>
            <w:noProof/>
          </w:rPr>
          <w:t>5.7.</w:t>
        </w:r>
        <w:r>
          <w:rPr>
            <w:rFonts w:asciiTheme="minorHAnsi" w:eastAsiaTheme="minorEastAsia" w:hAnsiTheme="minorHAnsi"/>
            <w:noProof/>
            <w:sz w:val="24"/>
            <w:szCs w:val="24"/>
            <w:lang w:eastAsia="en-AU"/>
          </w:rPr>
          <w:tab/>
        </w:r>
        <w:r w:rsidRPr="00DD0E8D">
          <w:rPr>
            <w:rStyle w:val="Hyperlink"/>
            <w:noProof/>
          </w:rPr>
          <w:t>Uncertainty and assumptions</w:t>
        </w:r>
        <w:r>
          <w:rPr>
            <w:noProof/>
            <w:webHidden/>
          </w:rPr>
          <w:tab/>
        </w:r>
        <w:r>
          <w:rPr>
            <w:noProof/>
            <w:webHidden/>
          </w:rPr>
          <w:fldChar w:fldCharType="begin"/>
        </w:r>
        <w:r>
          <w:rPr>
            <w:noProof/>
            <w:webHidden/>
          </w:rPr>
          <w:instrText xml:space="preserve"> PAGEREF _Toc220407021 \h </w:instrText>
        </w:r>
        <w:r>
          <w:rPr>
            <w:noProof/>
            <w:webHidden/>
          </w:rPr>
        </w:r>
        <w:r>
          <w:rPr>
            <w:noProof/>
            <w:webHidden/>
          </w:rPr>
          <w:fldChar w:fldCharType="separate"/>
        </w:r>
        <w:r w:rsidR="001C0481">
          <w:rPr>
            <w:noProof/>
            <w:webHidden/>
          </w:rPr>
          <w:t>12</w:t>
        </w:r>
        <w:r>
          <w:rPr>
            <w:noProof/>
            <w:webHidden/>
          </w:rPr>
          <w:fldChar w:fldCharType="end"/>
        </w:r>
      </w:hyperlink>
    </w:p>
    <w:p w14:paraId="01F6B0DB" w14:textId="0B365804" w:rsidR="00AC074E" w:rsidRDefault="00AC074E" w:rsidP="00A820D8">
      <w:pPr>
        <w:pStyle w:val="TOC1"/>
        <w:rPr>
          <w:rFonts w:asciiTheme="minorHAnsi" w:eastAsiaTheme="minorEastAsia" w:hAnsiTheme="minorHAnsi"/>
          <w:noProof/>
          <w:sz w:val="24"/>
          <w:szCs w:val="24"/>
          <w:lang w:eastAsia="en-AU"/>
        </w:rPr>
      </w:pPr>
      <w:hyperlink w:anchor="_Toc220407022" w:history="1">
        <w:r w:rsidRPr="00DD0E8D">
          <w:rPr>
            <w:rStyle w:val="Hyperlink"/>
            <w:noProof/>
          </w:rPr>
          <w:t>6.</w:t>
        </w:r>
        <w:r>
          <w:rPr>
            <w:rFonts w:asciiTheme="minorHAnsi" w:eastAsiaTheme="minorEastAsia" w:hAnsiTheme="minorHAnsi"/>
            <w:noProof/>
            <w:sz w:val="24"/>
            <w:szCs w:val="24"/>
            <w:lang w:eastAsia="en-AU"/>
          </w:rPr>
          <w:tab/>
        </w:r>
        <w:r w:rsidRPr="00DD0E8D">
          <w:rPr>
            <w:rStyle w:val="Hyperlink"/>
            <w:noProof/>
          </w:rPr>
          <w:t>Risk Tools</w:t>
        </w:r>
        <w:r>
          <w:rPr>
            <w:noProof/>
            <w:webHidden/>
          </w:rPr>
          <w:tab/>
        </w:r>
        <w:r>
          <w:rPr>
            <w:noProof/>
            <w:webHidden/>
          </w:rPr>
          <w:fldChar w:fldCharType="begin"/>
        </w:r>
        <w:r>
          <w:rPr>
            <w:noProof/>
            <w:webHidden/>
          </w:rPr>
          <w:instrText xml:space="preserve"> PAGEREF _Toc220407022 \h </w:instrText>
        </w:r>
        <w:r>
          <w:rPr>
            <w:noProof/>
            <w:webHidden/>
          </w:rPr>
        </w:r>
        <w:r>
          <w:rPr>
            <w:noProof/>
            <w:webHidden/>
          </w:rPr>
          <w:fldChar w:fldCharType="separate"/>
        </w:r>
        <w:r w:rsidR="001C0481">
          <w:rPr>
            <w:noProof/>
            <w:webHidden/>
          </w:rPr>
          <w:t>13</w:t>
        </w:r>
        <w:r>
          <w:rPr>
            <w:noProof/>
            <w:webHidden/>
          </w:rPr>
          <w:fldChar w:fldCharType="end"/>
        </w:r>
      </w:hyperlink>
    </w:p>
    <w:p w14:paraId="6FEB7B53" w14:textId="7CB99296" w:rsidR="00AC074E" w:rsidRDefault="00AC074E">
      <w:pPr>
        <w:pStyle w:val="TOC2"/>
        <w:rPr>
          <w:rFonts w:asciiTheme="minorHAnsi" w:eastAsiaTheme="minorEastAsia" w:hAnsiTheme="minorHAnsi"/>
          <w:noProof/>
          <w:sz w:val="24"/>
          <w:szCs w:val="24"/>
          <w:lang w:eastAsia="en-AU"/>
        </w:rPr>
      </w:pPr>
      <w:hyperlink w:anchor="_Toc220407023" w:history="1">
        <w:r w:rsidRPr="00DD0E8D">
          <w:rPr>
            <w:rStyle w:val="Hyperlink"/>
            <w:noProof/>
          </w:rPr>
          <w:t>6.1.</w:t>
        </w:r>
        <w:r>
          <w:rPr>
            <w:rFonts w:asciiTheme="minorHAnsi" w:eastAsiaTheme="minorEastAsia" w:hAnsiTheme="minorHAnsi"/>
            <w:noProof/>
            <w:sz w:val="24"/>
            <w:szCs w:val="24"/>
            <w:lang w:eastAsia="en-AU"/>
          </w:rPr>
          <w:tab/>
        </w:r>
        <w:r w:rsidRPr="00DD0E8D">
          <w:rPr>
            <w:rStyle w:val="Hyperlink"/>
            <w:noProof/>
          </w:rPr>
          <w:t>SPR</w:t>
        </w:r>
        <w:r>
          <w:rPr>
            <w:noProof/>
            <w:webHidden/>
          </w:rPr>
          <w:tab/>
        </w:r>
        <w:r>
          <w:rPr>
            <w:noProof/>
            <w:webHidden/>
          </w:rPr>
          <w:fldChar w:fldCharType="begin"/>
        </w:r>
        <w:r>
          <w:rPr>
            <w:noProof/>
            <w:webHidden/>
          </w:rPr>
          <w:instrText xml:space="preserve"> PAGEREF _Toc220407023 \h </w:instrText>
        </w:r>
        <w:r>
          <w:rPr>
            <w:noProof/>
            <w:webHidden/>
          </w:rPr>
        </w:r>
        <w:r>
          <w:rPr>
            <w:noProof/>
            <w:webHidden/>
          </w:rPr>
          <w:fldChar w:fldCharType="separate"/>
        </w:r>
        <w:r w:rsidR="001C0481">
          <w:rPr>
            <w:noProof/>
            <w:webHidden/>
          </w:rPr>
          <w:t>14</w:t>
        </w:r>
        <w:r>
          <w:rPr>
            <w:noProof/>
            <w:webHidden/>
          </w:rPr>
          <w:fldChar w:fldCharType="end"/>
        </w:r>
      </w:hyperlink>
    </w:p>
    <w:p w14:paraId="37E72115" w14:textId="17CF908C" w:rsidR="00AC074E" w:rsidRDefault="00AC074E">
      <w:pPr>
        <w:pStyle w:val="TOC2"/>
        <w:rPr>
          <w:rFonts w:asciiTheme="minorHAnsi" w:eastAsiaTheme="minorEastAsia" w:hAnsiTheme="minorHAnsi"/>
          <w:noProof/>
          <w:sz w:val="24"/>
          <w:szCs w:val="24"/>
          <w:lang w:eastAsia="en-AU"/>
        </w:rPr>
      </w:pPr>
      <w:hyperlink w:anchor="_Toc220407024" w:history="1">
        <w:r w:rsidRPr="00DD0E8D">
          <w:rPr>
            <w:rStyle w:val="Hyperlink"/>
            <w:noProof/>
          </w:rPr>
          <w:t>6.2.</w:t>
        </w:r>
        <w:r>
          <w:rPr>
            <w:rFonts w:asciiTheme="minorHAnsi" w:eastAsiaTheme="minorEastAsia" w:hAnsiTheme="minorHAnsi"/>
            <w:noProof/>
            <w:sz w:val="24"/>
            <w:szCs w:val="24"/>
            <w:lang w:eastAsia="en-AU"/>
          </w:rPr>
          <w:tab/>
        </w:r>
        <w:r w:rsidRPr="00DD0E8D">
          <w:rPr>
            <w:rStyle w:val="Hyperlink"/>
            <w:noProof/>
          </w:rPr>
          <w:t>Failure Modes Effect Analysis</w:t>
        </w:r>
        <w:r>
          <w:rPr>
            <w:noProof/>
            <w:webHidden/>
          </w:rPr>
          <w:tab/>
        </w:r>
        <w:r>
          <w:rPr>
            <w:noProof/>
            <w:webHidden/>
          </w:rPr>
          <w:fldChar w:fldCharType="begin"/>
        </w:r>
        <w:r>
          <w:rPr>
            <w:noProof/>
            <w:webHidden/>
          </w:rPr>
          <w:instrText xml:space="preserve"> PAGEREF _Toc220407024 \h </w:instrText>
        </w:r>
        <w:r>
          <w:rPr>
            <w:noProof/>
            <w:webHidden/>
          </w:rPr>
        </w:r>
        <w:r>
          <w:rPr>
            <w:noProof/>
            <w:webHidden/>
          </w:rPr>
          <w:fldChar w:fldCharType="separate"/>
        </w:r>
        <w:r w:rsidR="001C0481">
          <w:rPr>
            <w:noProof/>
            <w:webHidden/>
          </w:rPr>
          <w:t>14</w:t>
        </w:r>
        <w:r>
          <w:rPr>
            <w:noProof/>
            <w:webHidden/>
          </w:rPr>
          <w:fldChar w:fldCharType="end"/>
        </w:r>
      </w:hyperlink>
    </w:p>
    <w:p w14:paraId="38ECEBD6" w14:textId="59B649C5" w:rsidR="00AC074E" w:rsidRDefault="00AC074E">
      <w:pPr>
        <w:pStyle w:val="TOC2"/>
        <w:rPr>
          <w:rFonts w:asciiTheme="minorHAnsi" w:eastAsiaTheme="minorEastAsia" w:hAnsiTheme="minorHAnsi"/>
          <w:noProof/>
          <w:sz w:val="24"/>
          <w:szCs w:val="24"/>
          <w:lang w:eastAsia="en-AU"/>
        </w:rPr>
      </w:pPr>
      <w:hyperlink w:anchor="_Toc220407025" w:history="1">
        <w:r w:rsidRPr="00DD0E8D">
          <w:rPr>
            <w:rStyle w:val="Hyperlink"/>
            <w:noProof/>
          </w:rPr>
          <w:t>6.3.</w:t>
        </w:r>
        <w:r>
          <w:rPr>
            <w:rFonts w:asciiTheme="minorHAnsi" w:eastAsiaTheme="minorEastAsia" w:hAnsiTheme="minorHAnsi"/>
            <w:noProof/>
            <w:sz w:val="24"/>
            <w:szCs w:val="24"/>
            <w:lang w:eastAsia="en-AU"/>
          </w:rPr>
          <w:tab/>
        </w:r>
        <w:r w:rsidRPr="00DD0E8D">
          <w:rPr>
            <w:rStyle w:val="Hyperlink"/>
            <w:noProof/>
          </w:rPr>
          <w:t>Fault Trees</w:t>
        </w:r>
        <w:r>
          <w:rPr>
            <w:noProof/>
            <w:webHidden/>
          </w:rPr>
          <w:tab/>
        </w:r>
        <w:r>
          <w:rPr>
            <w:noProof/>
            <w:webHidden/>
          </w:rPr>
          <w:fldChar w:fldCharType="begin"/>
        </w:r>
        <w:r>
          <w:rPr>
            <w:noProof/>
            <w:webHidden/>
          </w:rPr>
          <w:instrText xml:space="preserve"> PAGEREF _Toc220407025 \h </w:instrText>
        </w:r>
        <w:r>
          <w:rPr>
            <w:noProof/>
            <w:webHidden/>
          </w:rPr>
        </w:r>
        <w:r>
          <w:rPr>
            <w:noProof/>
            <w:webHidden/>
          </w:rPr>
          <w:fldChar w:fldCharType="separate"/>
        </w:r>
        <w:r w:rsidR="001C0481">
          <w:rPr>
            <w:noProof/>
            <w:webHidden/>
          </w:rPr>
          <w:t>15</w:t>
        </w:r>
        <w:r>
          <w:rPr>
            <w:noProof/>
            <w:webHidden/>
          </w:rPr>
          <w:fldChar w:fldCharType="end"/>
        </w:r>
      </w:hyperlink>
    </w:p>
    <w:p w14:paraId="742035F9" w14:textId="3F967055" w:rsidR="00AC074E" w:rsidRDefault="00AC074E">
      <w:pPr>
        <w:pStyle w:val="TOC2"/>
        <w:rPr>
          <w:rFonts w:asciiTheme="minorHAnsi" w:eastAsiaTheme="minorEastAsia" w:hAnsiTheme="minorHAnsi"/>
          <w:noProof/>
          <w:sz w:val="24"/>
          <w:szCs w:val="24"/>
          <w:lang w:eastAsia="en-AU"/>
        </w:rPr>
      </w:pPr>
      <w:hyperlink w:anchor="_Toc220407026" w:history="1">
        <w:r w:rsidRPr="00DD0E8D">
          <w:rPr>
            <w:rStyle w:val="Hyperlink"/>
            <w:noProof/>
          </w:rPr>
          <w:t>6.4.</w:t>
        </w:r>
        <w:r>
          <w:rPr>
            <w:rFonts w:asciiTheme="minorHAnsi" w:eastAsiaTheme="minorEastAsia" w:hAnsiTheme="minorHAnsi"/>
            <w:noProof/>
            <w:sz w:val="24"/>
            <w:szCs w:val="24"/>
            <w:lang w:eastAsia="en-AU"/>
          </w:rPr>
          <w:tab/>
        </w:r>
        <w:r w:rsidRPr="00DD0E8D">
          <w:rPr>
            <w:rStyle w:val="Hyperlink"/>
            <w:noProof/>
          </w:rPr>
          <w:t>Bowties</w:t>
        </w:r>
        <w:r>
          <w:rPr>
            <w:noProof/>
            <w:webHidden/>
          </w:rPr>
          <w:tab/>
        </w:r>
        <w:r>
          <w:rPr>
            <w:noProof/>
            <w:webHidden/>
          </w:rPr>
          <w:fldChar w:fldCharType="begin"/>
        </w:r>
        <w:r>
          <w:rPr>
            <w:noProof/>
            <w:webHidden/>
          </w:rPr>
          <w:instrText xml:space="preserve"> PAGEREF _Toc220407026 \h </w:instrText>
        </w:r>
        <w:r>
          <w:rPr>
            <w:noProof/>
            <w:webHidden/>
          </w:rPr>
        </w:r>
        <w:r>
          <w:rPr>
            <w:noProof/>
            <w:webHidden/>
          </w:rPr>
          <w:fldChar w:fldCharType="separate"/>
        </w:r>
        <w:r w:rsidR="001C0481">
          <w:rPr>
            <w:noProof/>
            <w:webHidden/>
          </w:rPr>
          <w:t>15</w:t>
        </w:r>
        <w:r>
          <w:rPr>
            <w:noProof/>
            <w:webHidden/>
          </w:rPr>
          <w:fldChar w:fldCharType="end"/>
        </w:r>
      </w:hyperlink>
    </w:p>
    <w:p w14:paraId="12C38B5E" w14:textId="4C15E312" w:rsidR="00AC074E" w:rsidRDefault="00AC074E" w:rsidP="00A820D8">
      <w:pPr>
        <w:pStyle w:val="TOC1"/>
        <w:rPr>
          <w:rFonts w:asciiTheme="minorHAnsi" w:eastAsiaTheme="minorEastAsia" w:hAnsiTheme="minorHAnsi"/>
          <w:noProof/>
          <w:sz w:val="24"/>
          <w:szCs w:val="24"/>
          <w:lang w:eastAsia="en-AU"/>
        </w:rPr>
      </w:pPr>
      <w:hyperlink w:anchor="_Toc220407027" w:history="1">
        <w:r w:rsidRPr="00DD0E8D">
          <w:rPr>
            <w:rStyle w:val="Hyperlink"/>
            <w:noProof/>
          </w:rPr>
          <w:t>7.</w:t>
        </w:r>
        <w:r>
          <w:rPr>
            <w:rFonts w:asciiTheme="minorHAnsi" w:eastAsiaTheme="minorEastAsia" w:hAnsiTheme="minorHAnsi"/>
            <w:noProof/>
            <w:sz w:val="24"/>
            <w:szCs w:val="24"/>
            <w:lang w:eastAsia="en-AU"/>
          </w:rPr>
          <w:tab/>
        </w:r>
        <w:r w:rsidRPr="00DD0E8D">
          <w:rPr>
            <w:rStyle w:val="Hyperlink"/>
            <w:noProof/>
          </w:rPr>
          <w:t>Post closure plan</w:t>
        </w:r>
        <w:r>
          <w:rPr>
            <w:noProof/>
            <w:webHidden/>
          </w:rPr>
          <w:tab/>
        </w:r>
        <w:r>
          <w:rPr>
            <w:noProof/>
            <w:webHidden/>
          </w:rPr>
          <w:fldChar w:fldCharType="begin"/>
        </w:r>
        <w:r>
          <w:rPr>
            <w:noProof/>
            <w:webHidden/>
          </w:rPr>
          <w:instrText xml:space="preserve"> PAGEREF _Toc220407027 \h </w:instrText>
        </w:r>
        <w:r>
          <w:rPr>
            <w:noProof/>
            <w:webHidden/>
          </w:rPr>
        </w:r>
        <w:r>
          <w:rPr>
            <w:noProof/>
            <w:webHidden/>
          </w:rPr>
          <w:fldChar w:fldCharType="separate"/>
        </w:r>
        <w:r w:rsidR="001C0481">
          <w:rPr>
            <w:noProof/>
            <w:webHidden/>
          </w:rPr>
          <w:t>15</w:t>
        </w:r>
        <w:r>
          <w:rPr>
            <w:noProof/>
            <w:webHidden/>
          </w:rPr>
          <w:fldChar w:fldCharType="end"/>
        </w:r>
      </w:hyperlink>
    </w:p>
    <w:p w14:paraId="72C65D00" w14:textId="7FCE433C" w:rsidR="00AC074E" w:rsidRDefault="00AC074E" w:rsidP="00A820D8">
      <w:pPr>
        <w:pStyle w:val="TOC1"/>
        <w:rPr>
          <w:rFonts w:asciiTheme="minorHAnsi" w:eastAsiaTheme="minorEastAsia" w:hAnsiTheme="minorHAnsi"/>
          <w:noProof/>
          <w:sz w:val="24"/>
          <w:szCs w:val="24"/>
          <w:lang w:eastAsia="en-AU"/>
        </w:rPr>
      </w:pPr>
      <w:hyperlink w:anchor="_Toc220407028" w:history="1">
        <w:r w:rsidRPr="00DD0E8D">
          <w:rPr>
            <w:rStyle w:val="Hyperlink"/>
            <w:noProof/>
          </w:rPr>
          <w:t>8.</w:t>
        </w:r>
        <w:r>
          <w:rPr>
            <w:rFonts w:asciiTheme="minorHAnsi" w:eastAsiaTheme="minorEastAsia" w:hAnsiTheme="minorHAnsi"/>
            <w:noProof/>
            <w:sz w:val="24"/>
            <w:szCs w:val="24"/>
            <w:lang w:eastAsia="en-AU"/>
          </w:rPr>
          <w:tab/>
        </w:r>
        <w:r w:rsidRPr="00DD0E8D">
          <w:rPr>
            <w:rStyle w:val="Hyperlink"/>
            <w:noProof/>
          </w:rPr>
          <w:t>Summary</w:t>
        </w:r>
        <w:r>
          <w:rPr>
            <w:noProof/>
            <w:webHidden/>
          </w:rPr>
          <w:tab/>
        </w:r>
        <w:r>
          <w:rPr>
            <w:noProof/>
            <w:webHidden/>
          </w:rPr>
          <w:fldChar w:fldCharType="begin"/>
        </w:r>
        <w:r>
          <w:rPr>
            <w:noProof/>
            <w:webHidden/>
          </w:rPr>
          <w:instrText xml:space="preserve"> PAGEREF _Toc220407028 \h </w:instrText>
        </w:r>
        <w:r>
          <w:rPr>
            <w:noProof/>
            <w:webHidden/>
          </w:rPr>
        </w:r>
        <w:r>
          <w:rPr>
            <w:noProof/>
            <w:webHidden/>
          </w:rPr>
          <w:fldChar w:fldCharType="separate"/>
        </w:r>
        <w:r w:rsidR="001C0481">
          <w:rPr>
            <w:noProof/>
            <w:webHidden/>
          </w:rPr>
          <w:t>18</w:t>
        </w:r>
        <w:r>
          <w:rPr>
            <w:noProof/>
            <w:webHidden/>
          </w:rPr>
          <w:fldChar w:fldCharType="end"/>
        </w:r>
      </w:hyperlink>
    </w:p>
    <w:p w14:paraId="3EEAD09F" w14:textId="555B1966" w:rsidR="00AC074E" w:rsidRDefault="00AC074E">
      <w:pPr>
        <w:pStyle w:val="TOC2"/>
        <w:rPr>
          <w:rFonts w:asciiTheme="minorHAnsi" w:eastAsiaTheme="minorEastAsia" w:hAnsiTheme="minorHAnsi"/>
          <w:noProof/>
          <w:sz w:val="24"/>
          <w:szCs w:val="24"/>
          <w:lang w:eastAsia="en-AU"/>
        </w:rPr>
      </w:pPr>
      <w:hyperlink w:anchor="_Toc220407029" w:history="1">
        <w:r w:rsidRPr="00DD0E8D">
          <w:rPr>
            <w:rStyle w:val="Hyperlink"/>
            <w:noProof/>
          </w:rPr>
          <w:t>8.1.</w:t>
        </w:r>
        <w:r>
          <w:rPr>
            <w:rFonts w:asciiTheme="minorHAnsi" w:eastAsiaTheme="minorEastAsia" w:hAnsiTheme="minorHAnsi"/>
            <w:noProof/>
            <w:sz w:val="24"/>
            <w:szCs w:val="24"/>
            <w:lang w:eastAsia="en-AU"/>
          </w:rPr>
          <w:tab/>
        </w:r>
        <w:r w:rsidRPr="00DD0E8D">
          <w:rPr>
            <w:rStyle w:val="Hyperlink"/>
            <w:noProof/>
          </w:rPr>
          <w:t>Key considerations</w:t>
        </w:r>
        <w:r>
          <w:rPr>
            <w:noProof/>
            <w:webHidden/>
          </w:rPr>
          <w:tab/>
        </w:r>
        <w:r>
          <w:rPr>
            <w:noProof/>
            <w:webHidden/>
          </w:rPr>
          <w:fldChar w:fldCharType="begin"/>
        </w:r>
        <w:r>
          <w:rPr>
            <w:noProof/>
            <w:webHidden/>
          </w:rPr>
          <w:instrText xml:space="preserve"> PAGEREF _Toc220407029 \h </w:instrText>
        </w:r>
        <w:r>
          <w:rPr>
            <w:noProof/>
            <w:webHidden/>
          </w:rPr>
        </w:r>
        <w:r>
          <w:rPr>
            <w:noProof/>
            <w:webHidden/>
          </w:rPr>
          <w:fldChar w:fldCharType="separate"/>
        </w:r>
        <w:r w:rsidR="001C0481">
          <w:rPr>
            <w:noProof/>
            <w:webHidden/>
          </w:rPr>
          <w:t>18</w:t>
        </w:r>
        <w:r>
          <w:rPr>
            <w:noProof/>
            <w:webHidden/>
          </w:rPr>
          <w:fldChar w:fldCharType="end"/>
        </w:r>
      </w:hyperlink>
    </w:p>
    <w:p w14:paraId="515234E9" w14:textId="0F18B63D" w:rsidR="00AC074E" w:rsidRDefault="00AC074E" w:rsidP="00A820D8">
      <w:pPr>
        <w:pStyle w:val="TOC1"/>
        <w:rPr>
          <w:rFonts w:asciiTheme="minorHAnsi" w:eastAsiaTheme="minorEastAsia" w:hAnsiTheme="minorHAnsi"/>
          <w:noProof/>
          <w:sz w:val="24"/>
          <w:szCs w:val="24"/>
          <w:lang w:eastAsia="en-AU"/>
        </w:rPr>
      </w:pPr>
      <w:hyperlink w:anchor="_Toc220407030" w:history="1">
        <w:r w:rsidRPr="00DD0E8D">
          <w:rPr>
            <w:rStyle w:val="Hyperlink"/>
            <w:noProof/>
          </w:rPr>
          <w:t>9.</w:t>
        </w:r>
        <w:r>
          <w:rPr>
            <w:rFonts w:asciiTheme="minorHAnsi" w:eastAsiaTheme="minorEastAsia" w:hAnsiTheme="minorHAnsi"/>
            <w:noProof/>
            <w:sz w:val="24"/>
            <w:szCs w:val="24"/>
            <w:lang w:eastAsia="en-AU"/>
          </w:rPr>
          <w:tab/>
        </w:r>
        <w:r w:rsidRPr="00DD0E8D">
          <w:rPr>
            <w:rStyle w:val="Hyperlink"/>
            <w:noProof/>
          </w:rPr>
          <w:t>References</w:t>
        </w:r>
        <w:r>
          <w:rPr>
            <w:noProof/>
            <w:webHidden/>
          </w:rPr>
          <w:tab/>
        </w:r>
        <w:r>
          <w:rPr>
            <w:noProof/>
            <w:webHidden/>
          </w:rPr>
          <w:fldChar w:fldCharType="begin"/>
        </w:r>
        <w:r>
          <w:rPr>
            <w:noProof/>
            <w:webHidden/>
          </w:rPr>
          <w:instrText xml:space="preserve"> PAGEREF _Toc220407030 \h </w:instrText>
        </w:r>
        <w:r>
          <w:rPr>
            <w:noProof/>
            <w:webHidden/>
          </w:rPr>
        </w:r>
        <w:r>
          <w:rPr>
            <w:noProof/>
            <w:webHidden/>
          </w:rPr>
          <w:fldChar w:fldCharType="separate"/>
        </w:r>
        <w:r w:rsidR="001C0481">
          <w:rPr>
            <w:noProof/>
            <w:webHidden/>
          </w:rPr>
          <w:t>20</w:t>
        </w:r>
        <w:r>
          <w:rPr>
            <w:noProof/>
            <w:webHidden/>
          </w:rPr>
          <w:fldChar w:fldCharType="end"/>
        </w:r>
      </w:hyperlink>
    </w:p>
    <w:p w14:paraId="59C49D9E" w14:textId="10C0B70A" w:rsidR="00AC074E" w:rsidRDefault="00AC074E" w:rsidP="00A820D8">
      <w:pPr>
        <w:pStyle w:val="TOC1"/>
        <w:rPr>
          <w:rFonts w:asciiTheme="minorHAnsi" w:eastAsiaTheme="minorEastAsia" w:hAnsiTheme="minorHAnsi"/>
          <w:noProof/>
          <w:sz w:val="24"/>
          <w:szCs w:val="24"/>
          <w:lang w:eastAsia="en-AU"/>
        </w:rPr>
      </w:pPr>
      <w:hyperlink w:anchor="_Toc220407031" w:history="1">
        <w:r w:rsidRPr="00DD0E8D">
          <w:rPr>
            <w:rStyle w:val="Hyperlink"/>
            <w:noProof/>
          </w:rPr>
          <w:t>Appendix A: Example Risk Register</w:t>
        </w:r>
        <w:r>
          <w:rPr>
            <w:noProof/>
            <w:webHidden/>
          </w:rPr>
          <w:tab/>
        </w:r>
        <w:r>
          <w:rPr>
            <w:noProof/>
            <w:webHidden/>
          </w:rPr>
          <w:fldChar w:fldCharType="begin"/>
        </w:r>
        <w:r>
          <w:rPr>
            <w:noProof/>
            <w:webHidden/>
          </w:rPr>
          <w:instrText xml:space="preserve"> PAGEREF _Toc220407031 \h </w:instrText>
        </w:r>
        <w:r>
          <w:rPr>
            <w:noProof/>
            <w:webHidden/>
          </w:rPr>
        </w:r>
        <w:r>
          <w:rPr>
            <w:noProof/>
            <w:webHidden/>
          </w:rPr>
          <w:fldChar w:fldCharType="separate"/>
        </w:r>
        <w:r w:rsidR="001C0481">
          <w:rPr>
            <w:noProof/>
            <w:webHidden/>
          </w:rPr>
          <w:t>22</w:t>
        </w:r>
        <w:r>
          <w:rPr>
            <w:noProof/>
            <w:webHidden/>
          </w:rPr>
          <w:fldChar w:fldCharType="end"/>
        </w:r>
      </w:hyperlink>
    </w:p>
    <w:p w14:paraId="104DE58C" w14:textId="66DFA178" w:rsidR="0089237E" w:rsidRDefault="00853123" w:rsidP="00A820D8">
      <w:pPr>
        <w:pStyle w:val="TOC1"/>
      </w:pPr>
      <w:r>
        <w:fldChar w:fldCharType="end"/>
      </w:r>
    </w:p>
    <w:p w14:paraId="56940150" w14:textId="61A2E21F" w:rsidR="0089237E" w:rsidRPr="0089237E" w:rsidRDefault="0089237E" w:rsidP="0089237E">
      <w:pPr>
        <w:sectPr w:rsidR="0089237E" w:rsidRPr="0089237E" w:rsidSect="00D41FB7">
          <w:pgSz w:w="11906" w:h="16838"/>
          <w:pgMar w:top="1440" w:right="1440" w:bottom="1440" w:left="1440" w:header="709" w:footer="709" w:gutter="0"/>
          <w:pgNumType w:fmt="lowerRoman"/>
          <w:cols w:space="708"/>
          <w:docGrid w:linePitch="360"/>
        </w:sectPr>
      </w:pPr>
    </w:p>
    <w:p w14:paraId="67B2EAE9" w14:textId="0DE63B60" w:rsidR="003B6315" w:rsidRDefault="008637FB" w:rsidP="009211BD">
      <w:pPr>
        <w:pStyle w:val="Title"/>
      </w:pPr>
      <w:r>
        <w:lastRenderedPageBreak/>
        <w:t xml:space="preserve">Discussion Paper 01: </w:t>
      </w:r>
      <w:r w:rsidR="006148B5">
        <w:t xml:space="preserve">Post </w:t>
      </w:r>
      <w:r w:rsidR="00E66AEA">
        <w:t>C</w:t>
      </w:r>
      <w:r w:rsidR="006148B5">
        <w:t>losure</w:t>
      </w:r>
      <w:r w:rsidR="003B6315">
        <w:t xml:space="preserve"> Risk Assessment </w:t>
      </w:r>
    </w:p>
    <w:p w14:paraId="06F8DFFB" w14:textId="77777777" w:rsidR="005A7827" w:rsidRDefault="005A7827" w:rsidP="00DE34E4">
      <w:pPr>
        <w:pStyle w:val="Heading1"/>
      </w:pPr>
      <w:bookmarkStart w:id="1" w:name="_Toc215653641"/>
      <w:bookmarkStart w:id="2" w:name="_Toc220407000"/>
      <w:bookmarkStart w:id="3" w:name="_Ref208933943"/>
      <w:r>
        <w:t>Purpose</w:t>
      </w:r>
      <w:bookmarkEnd w:id="1"/>
      <w:bookmarkEnd w:id="2"/>
      <w:r>
        <w:t xml:space="preserve"> </w:t>
      </w:r>
    </w:p>
    <w:p w14:paraId="14B5571C" w14:textId="16C69B55" w:rsidR="005A7827" w:rsidRDefault="00C3321B" w:rsidP="005A7827">
      <w:r>
        <w:t xml:space="preserve">The Mine Land Rehabilitation Authority (MLRA) has prepared this discussion </w:t>
      </w:r>
      <w:r w:rsidR="00E40EEE">
        <w:t xml:space="preserve">and guidance </w:t>
      </w:r>
      <w:r>
        <w:t xml:space="preserve">paper to outline key considerations and potential methodologies to assist in undertaking </w:t>
      </w:r>
      <w:r w:rsidR="006148B5">
        <w:t>post closure</w:t>
      </w:r>
      <w:r>
        <w:t xml:space="preserve"> risk assessments</w:t>
      </w:r>
      <w:r w:rsidR="009471A2">
        <w:t xml:space="preserve"> to support the development of the</w:t>
      </w:r>
      <w:r w:rsidR="006B6217">
        <w:t xml:space="preserve"> </w:t>
      </w:r>
      <w:r w:rsidR="00006D7C">
        <w:t>Declared Mine Rehabilitation Pla</w:t>
      </w:r>
      <w:r w:rsidR="00E34D1D">
        <w:t>n (</w:t>
      </w:r>
      <w:r w:rsidR="006B6217">
        <w:t>DMRP</w:t>
      </w:r>
      <w:r w:rsidR="00E34D1D">
        <w:t>)</w:t>
      </w:r>
      <w:r w:rsidR="006B6217">
        <w:t xml:space="preserve">, </w:t>
      </w:r>
      <w:r w:rsidR="003506B2">
        <w:t>including the</w:t>
      </w:r>
      <w:r w:rsidR="009471A2">
        <w:t xml:space="preserve"> post closure plan</w:t>
      </w:r>
      <w:r w:rsidR="00005842">
        <w:t xml:space="preserve"> and subsequent post closure risk management plans</w:t>
      </w:r>
      <w:r w:rsidR="00B457B6">
        <w:t>.</w:t>
      </w:r>
      <w:r w:rsidR="00627E46">
        <w:t xml:space="preserve"> </w:t>
      </w:r>
    </w:p>
    <w:p w14:paraId="51759AF0" w14:textId="77777777" w:rsidR="005D17EC" w:rsidRDefault="005D17EC" w:rsidP="005D17EC">
      <w:bookmarkStart w:id="4" w:name="_Hlk215044761"/>
      <w:r>
        <w:t>The paper is deliberately structured in a manner to lead the reader through a logical sequence and to allow them to understand each step in the process and the key points that are being made along the way.</w:t>
      </w:r>
    </w:p>
    <w:p w14:paraId="58746A3A" w14:textId="72BC82A8" w:rsidR="00550181" w:rsidRDefault="00550181" w:rsidP="00550181">
      <w:r>
        <w:t xml:space="preserve">The document has been prepared to help bridge the risk assessment process for operations to </w:t>
      </w:r>
      <w:r w:rsidR="006148B5">
        <w:t>post closure</w:t>
      </w:r>
      <w:r>
        <w:t xml:space="preserve"> so that </w:t>
      </w:r>
      <w:r w:rsidR="4FC5CE58">
        <w:t>a</w:t>
      </w:r>
      <w:r>
        <w:t xml:space="preserve"> discrete </w:t>
      </w:r>
      <w:r w:rsidR="006148B5">
        <w:t>post closure</w:t>
      </w:r>
      <w:r>
        <w:t xml:space="preserve"> risk assessment can be developed. </w:t>
      </w:r>
      <w:r w:rsidR="0F0562AE">
        <w:t>P</w:t>
      </w:r>
      <w:r w:rsidR="006148B5">
        <w:t xml:space="preserve">ost </w:t>
      </w:r>
      <w:r>
        <w:t xml:space="preserve">closure risk assessment forms an intrinsic part of the development of a structured </w:t>
      </w:r>
      <w:r w:rsidR="006148B5">
        <w:t>post closure</w:t>
      </w:r>
      <w:r>
        <w:t xml:space="preserve"> plan that can be operationalised following closure determination by future land managers.</w:t>
      </w:r>
      <w:r w:rsidRPr="00596005">
        <w:t xml:space="preserve"> </w:t>
      </w:r>
    </w:p>
    <w:bookmarkEnd w:id="4"/>
    <w:p w14:paraId="051C0DF6" w14:textId="2C6AC4C5" w:rsidR="00550181" w:rsidRDefault="00550181" w:rsidP="00550181">
      <w:r>
        <w:t xml:space="preserve">A robust </w:t>
      </w:r>
      <w:r w:rsidR="006148B5">
        <w:t>post closure</w:t>
      </w:r>
      <w:r>
        <w:t xml:space="preserve"> risk assessment process can be informed by tiers of more detailed assessments focussing on elevated risk areas, key subject matters, remaining engineering structures and critical controls. </w:t>
      </w:r>
    </w:p>
    <w:p w14:paraId="20505682" w14:textId="192107DD" w:rsidR="00550181" w:rsidRDefault="00550181" w:rsidP="00550181">
      <w:r>
        <w:t xml:space="preserve">In line with AS/NZS ISO 31000:2009, the risk assessment process should be iterative. Risks should be systematically analysed and evaluated, with additional control measures introduced and implemented until residual risks are either eliminated or reduced as far as reasonably practicable. This iterative approach also provides key input into risk-based landform design, where the design progressively evolves in response to identified risks and associated controls. </w:t>
      </w:r>
    </w:p>
    <w:p w14:paraId="45137F49" w14:textId="14D9BAB6" w:rsidR="00550181" w:rsidRDefault="00550181" w:rsidP="00550181">
      <w:r>
        <w:t xml:space="preserve">By adopting a tiered approach, and explicitly considering the potential failure modes of the landform, the closure process will help ensure that for </w:t>
      </w:r>
      <w:r w:rsidR="006148B5">
        <w:t>post closure</w:t>
      </w:r>
      <w:r>
        <w:t>:</w:t>
      </w:r>
    </w:p>
    <w:p w14:paraId="1806E6FE" w14:textId="74EEF4F5" w:rsidR="00550181" w:rsidRDefault="00550181" w:rsidP="00550181">
      <w:pPr>
        <w:pStyle w:val="ListParagraph"/>
        <w:numPr>
          <w:ilvl w:val="0"/>
          <w:numId w:val="19"/>
        </w:numPr>
      </w:pPr>
      <w:r>
        <w:t xml:space="preserve">designs are fit for purpose and can support proposed future </w:t>
      </w:r>
      <w:r w:rsidR="006148B5">
        <w:t>post closure</w:t>
      </w:r>
      <w:r>
        <w:t xml:space="preserve"> land uses, and </w:t>
      </w:r>
    </w:p>
    <w:p w14:paraId="5BD85F16" w14:textId="0AE95224" w:rsidR="00550181" w:rsidRDefault="00550181" w:rsidP="00550181">
      <w:pPr>
        <w:pStyle w:val="ListParagraph"/>
        <w:numPr>
          <w:ilvl w:val="0"/>
          <w:numId w:val="19"/>
        </w:numPr>
      </w:pPr>
      <w:r>
        <w:t xml:space="preserve">a robust process is in place to identify all ongoing monitoring and maintenance controls, ensuring that any potential residual risks remaining on the declared mine land </w:t>
      </w:r>
      <w:r w:rsidR="1F847A78">
        <w:t xml:space="preserve">can be </w:t>
      </w:r>
      <w:r>
        <w:t xml:space="preserve">appropriately managed. </w:t>
      </w:r>
    </w:p>
    <w:p w14:paraId="7FB50888" w14:textId="07D6995A" w:rsidR="005A7827" w:rsidRDefault="005A7827" w:rsidP="005A7827">
      <w:r>
        <w:t>In accordance with</w:t>
      </w:r>
      <w:r w:rsidR="7685A722">
        <w:t xml:space="preserve"> sections</w:t>
      </w:r>
      <w:r>
        <w:t xml:space="preserve"> S84AL(</w:t>
      </w:r>
      <w:proofErr w:type="gramStart"/>
      <w:r>
        <w:t>1)(</w:t>
      </w:r>
      <w:proofErr w:type="gramEnd"/>
      <w:r>
        <w:t>kb), S84AL(</w:t>
      </w:r>
      <w:proofErr w:type="gramStart"/>
      <w:r>
        <w:t>1)(</w:t>
      </w:r>
      <w:proofErr w:type="spellStart"/>
      <w:proofErr w:type="gramEnd"/>
      <w:r>
        <w:t>kh</w:t>
      </w:r>
      <w:proofErr w:type="spellEnd"/>
      <w:r>
        <w:t xml:space="preserve">) and S84AZU(3)(c) of the </w:t>
      </w:r>
      <w:r w:rsidR="442383EF" w:rsidRPr="719CE177">
        <w:rPr>
          <w:i/>
          <w:iCs/>
        </w:rPr>
        <w:t xml:space="preserve">Mineral Resources (Sustainable Development) Act 1990 </w:t>
      </w:r>
      <w:r w:rsidR="442383EF">
        <w:t>(MRSDA)</w:t>
      </w:r>
      <w:r>
        <w:t xml:space="preserve">, the MLRA will have a key role in the </w:t>
      </w:r>
      <w:r w:rsidR="006148B5">
        <w:t>post</w:t>
      </w:r>
      <w:r w:rsidR="18B46F2B">
        <w:t>-</w:t>
      </w:r>
      <w:r w:rsidR="006148B5">
        <w:t>closure</w:t>
      </w:r>
      <w:r>
        <w:t xml:space="preserve"> management of declared </w:t>
      </w:r>
      <w:proofErr w:type="gramStart"/>
      <w:r>
        <w:t>mine</w:t>
      </w:r>
      <w:proofErr w:type="gramEnd"/>
      <w:r>
        <w:t xml:space="preserve"> land. The Authority will be responsible for either implementing or providing oversight on the implementation of relevant registered </w:t>
      </w:r>
      <w:r w:rsidR="006148B5">
        <w:t>post closure</w:t>
      </w:r>
      <w:r>
        <w:t xml:space="preserve"> plans. As such, the MLRA has a vested interest in the development and undertaking of each declared mine’s </w:t>
      </w:r>
      <w:r w:rsidR="000117A9">
        <w:t xml:space="preserve">DMRP including the post closure plan, </w:t>
      </w:r>
      <w:r w:rsidR="006148B5">
        <w:t>post closure</w:t>
      </w:r>
      <w:r>
        <w:t xml:space="preserve"> risk assessments and risk management plans. </w:t>
      </w:r>
    </w:p>
    <w:p w14:paraId="4E168E16" w14:textId="4C6A5DEE" w:rsidR="00657CF1" w:rsidRDefault="00657CF1" w:rsidP="00657CF1">
      <w:pPr>
        <w:pStyle w:val="Heading1"/>
      </w:pPr>
      <w:bookmarkStart w:id="5" w:name="_Toc215653642"/>
      <w:bookmarkStart w:id="6" w:name="_Toc220407001"/>
      <w:r>
        <w:t>Introduction</w:t>
      </w:r>
      <w:bookmarkEnd w:id="3"/>
      <w:bookmarkEnd w:id="5"/>
      <w:bookmarkEnd w:id="6"/>
    </w:p>
    <w:p w14:paraId="0634585B" w14:textId="6B292323" w:rsidR="00705B9D" w:rsidRDefault="006148B5" w:rsidP="00705B9D">
      <w:r>
        <w:t>Post closure</w:t>
      </w:r>
      <w:r w:rsidR="003023CE">
        <w:t xml:space="preserve"> is </w:t>
      </w:r>
      <w:r w:rsidR="00581ED6">
        <w:t>defined</w:t>
      </w:r>
      <w:r w:rsidR="003023CE">
        <w:t xml:space="preserve"> as the period after the mine is rehabilitated, closure criteria have been achieved, and the mining licen</w:t>
      </w:r>
      <w:r w:rsidR="00484E55">
        <w:t>c</w:t>
      </w:r>
      <w:r w:rsidR="003023CE">
        <w:t xml:space="preserve">e is surrendered. </w:t>
      </w:r>
      <w:r w:rsidR="00705B9D">
        <w:t xml:space="preserve">Under the MRSDA, declared mine </w:t>
      </w:r>
      <w:r w:rsidR="00C11FA1">
        <w:t>licensees</w:t>
      </w:r>
      <w:r w:rsidR="00705B9D">
        <w:t xml:space="preserve"> are required to </w:t>
      </w:r>
      <w:r w:rsidR="00E1214E">
        <w:t xml:space="preserve">undertake a </w:t>
      </w:r>
      <w:r>
        <w:t>post closure</w:t>
      </w:r>
      <w:r w:rsidR="00E1214E">
        <w:t xml:space="preserve"> risk assessment </w:t>
      </w:r>
      <w:r w:rsidR="00067CF6">
        <w:t xml:space="preserve">and provide </w:t>
      </w:r>
      <w:r>
        <w:t>post closure</w:t>
      </w:r>
      <w:r w:rsidR="00B40E7C">
        <w:t xml:space="preserve"> </w:t>
      </w:r>
      <w:r w:rsidR="000E7359">
        <w:t>risk management plans</w:t>
      </w:r>
      <w:r w:rsidR="00B40E7C">
        <w:t xml:space="preserve"> </w:t>
      </w:r>
      <w:r w:rsidR="002A5551">
        <w:t xml:space="preserve">which </w:t>
      </w:r>
      <w:r w:rsidR="00532E8F">
        <w:t xml:space="preserve">must be </w:t>
      </w:r>
      <w:r w:rsidR="00C665A2">
        <w:t xml:space="preserve">included as part of </w:t>
      </w:r>
      <w:r w:rsidR="00705B9D">
        <w:t xml:space="preserve">a </w:t>
      </w:r>
      <w:r>
        <w:t>post closure</w:t>
      </w:r>
      <w:r w:rsidR="00705B9D">
        <w:t xml:space="preserve"> plan</w:t>
      </w:r>
      <w:r w:rsidR="00F3721D">
        <w:t xml:space="preserve"> </w:t>
      </w:r>
      <w:r w:rsidR="00F3721D" w:rsidRPr="00F3721D">
        <w:t xml:space="preserve">for the declared </w:t>
      </w:r>
      <w:proofErr w:type="gramStart"/>
      <w:r w:rsidR="00F3721D" w:rsidRPr="00F3721D">
        <w:t>mine</w:t>
      </w:r>
      <w:proofErr w:type="gramEnd"/>
      <w:r w:rsidR="00F3721D" w:rsidRPr="00F3721D">
        <w:t xml:space="preserve"> land</w:t>
      </w:r>
      <w:r w:rsidR="00926F3C">
        <w:t>.</w:t>
      </w:r>
      <w:r w:rsidR="00705B9D">
        <w:t xml:space="preserve"> </w:t>
      </w:r>
      <w:r w:rsidR="000D0483">
        <w:t xml:space="preserve">The </w:t>
      </w:r>
      <w:r>
        <w:t xml:space="preserve">post </w:t>
      </w:r>
      <w:r w:rsidR="000D0483">
        <w:t>closure plan</w:t>
      </w:r>
      <w:r w:rsidR="00705B9D">
        <w:t xml:space="preserve"> </w:t>
      </w:r>
      <w:r w:rsidR="00BE4578">
        <w:t>de</w:t>
      </w:r>
      <w:r w:rsidR="001A3A26">
        <w:t>fines</w:t>
      </w:r>
      <w:r w:rsidR="00705B9D">
        <w:t xml:space="preserve"> </w:t>
      </w:r>
      <w:r w:rsidR="00053ABE">
        <w:t>any ongoing risk management</w:t>
      </w:r>
      <w:r w:rsidR="00B905F3">
        <w:t>,</w:t>
      </w:r>
      <w:r w:rsidR="00705B9D">
        <w:t xml:space="preserve"> monitoring and maintenance works which will be </w:t>
      </w:r>
      <w:r w:rsidR="00705B9D">
        <w:lastRenderedPageBreak/>
        <w:t>required after</w:t>
      </w:r>
      <w:r w:rsidR="00602455">
        <w:t xml:space="preserve"> (post)</w:t>
      </w:r>
      <w:r w:rsidR="001A3A26">
        <w:t xml:space="preserve"> closure</w:t>
      </w:r>
      <w:r w:rsidR="00705B9D">
        <w:rPr>
          <w:rStyle w:val="FootnoteReference"/>
        </w:rPr>
        <w:footnoteReference w:id="1"/>
      </w:r>
      <w:r w:rsidR="004937CF">
        <w:rPr>
          <w:vertAlign w:val="superscript"/>
        </w:rPr>
        <w:t>,</w:t>
      </w:r>
      <w:r w:rsidR="004937CF">
        <w:rPr>
          <w:rStyle w:val="FootnoteReference"/>
        </w:rPr>
        <w:footnoteReference w:id="2"/>
      </w:r>
      <w:r w:rsidR="00835BA8">
        <w:rPr>
          <w:vertAlign w:val="superscript"/>
        </w:rPr>
        <w:t>,</w:t>
      </w:r>
      <w:r w:rsidR="00A623A3">
        <w:rPr>
          <w:rStyle w:val="FootnoteReference"/>
        </w:rPr>
        <w:footnoteReference w:id="3"/>
      </w:r>
      <w:r w:rsidR="009062CD">
        <w:t>;</w:t>
      </w:r>
      <w:r w:rsidR="00377213">
        <w:t xml:space="preserve"> </w:t>
      </w:r>
      <w:r w:rsidR="00377213" w:rsidRPr="00377213">
        <w:t xml:space="preserve">who is responsible for </w:t>
      </w:r>
      <w:r w:rsidR="00FD0E11">
        <w:t>these</w:t>
      </w:r>
      <w:r w:rsidR="00377213" w:rsidRPr="00377213">
        <w:t xml:space="preserve"> activities</w:t>
      </w:r>
      <w:r w:rsidR="00FD5489">
        <w:t xml:space="preserve">, </w:t>
      </w:r>
      <w:r w:rsidR="009062CD">
        <w:t xml:space="preserve">their timing, </w:t>
      </w:r>
      <w:r w:rsidR="00FD5489">
        <w:t xml:space="preserve">and the </w:t>
      </w:r>
      <w:r w:rsidR="00FD5489" w:rsidRPr="00FD5489">
        <w:t>value of the future costs associated with the</w:t>
      </w:r>
      <w:r w:rsidR="00FD5489">
        <w:t xml:space="preserve">se </w:t>
      </w:r>
      <w:r w:rsidR="00FD5489" w:rsidRPr="00FD5489">
        <w:t>obligations</w:t>
      </w:r>
      <w:r w:rsidR="00FD0E11">
        <w:t>.</w:t>
      </w:r>
      <w:r w:rsidR="00705B9D">
        <w:t xml:space="preserve"> </w:t>
      </w:r>
    </w:p>
    <w:p w14:paraId="212E4F5C" w14:textId="2ACE1945" w:rsidR="00705B9D" w:rsidRDefault="00705B9D" w:rsidP="00705B9D">
      <w:r>
        <w:t xml:space="preserve">The provisions relating to </w:t>
      </w:r>
      <w:r w:rsidR="006148B5">
        <w:t xml:space="preserve">post </w:t>
      </w:r>
      <w:r>
        <w:t xml:space="preserve">closure management </w:t>
      </w:r>
      <w:r w:rsidR="006B3827">
        <w:t>are co</w:t>
      </w:r>
      <w:r w:rsidR="00A9099E">
        <w:t>ntained in</w:t>
      </w:r>
      <w:r>
        <w:t xml:space="preserve"> the MRSDA and associated </w:t>
      </w:r>
      <w:r w:rsidRPr="12D6026D">
        <w:rPr>
          <w:i/>
          <w:iCs/>
        </w:rPr>
        <w:t xml:space="preserve">Mineral Resources (Sustainable Development) (Mineral Industries) Regulations 2019 </w:t>
      </w:r>
      <w:r>
        <w:t>(the Regulations)</w:t>
      </w:r>
      <w:r w:rsidR="768923F1">
        <w:t xml:space="preserve">. These provisions </w:t>
      </w:r>
      <w:r>
        <w:t xml:space="preserve">acknowledge that </w:t>
      </w:r>
      <w:r>
        <w:rPr>
          <w:rFonts w:cs="Arial"/>
        </w:rPr>
        <w:t xml:space="preserve">risks and liabilities may remain after </w:t>
      </w:r>
      <w:r w:rsidR="001C6220">
        <w:rPr>
          <w:rFonts w:cs="Arial"/>
        </w:rPr>
        <w:t>closure</w:t>
      </w:r>
      <w:r w:rsidR="5228F706">
        <w:rPr>
          <w:rFonts w:cs="Arial"/>
        </w:rPr>
        <w:t>, even once</w:t>
      </w:r>
      <w:r w:rsidR="003560CB">
        <w:rPr>
          <w:rFonts w:cs="Arial"/>
        </w:rPr>
        <w:t xml:space="preserve"> </w:t>
      </w:r>
      <w:r>
        <w:rPr>
          <w:rFonts w:cs="Arial"/>
        </w:rPr>
        <w:t xml:space="preserve">declared mine land has been rehabilitated, closure criteria have been met, </w:t>
      </w:r>
      <w:r w:rsidR="006836DD" w:rsidRPr="2D1735F5">
        <w:rPr>
          <w:rFonts w:cs="Arial"/>
        </w:rPr>
        <w:t>the</w:t>
      </w:r>
      <w:r>
        <w:rPr>
          <w:rFonts w:cs="Arial"/>
        </w:rPr>
        <w:t xml:space="preserve"> mining licen</w:t>
      </w:r>
      <w:r w:rsidR="00C11FA1">
        <w:rPr>
          <w:rFonts w:cs="Arial"/>
        </w:rPr>
        <w:t>c</w:t>
      </w:r>
      <w:r>
        <w:rPr>
          <w:rFonts w:cs="Arial"/>
        </w:rPr>
        <w:t>e has been surrendered</w:t>
      </w:r>
      <w:r w:rsidR="00991938">
        <w:rPr>
          <w:rFonts w:cs="Arial"/>
        </w:rPr>
        <w:t xml:space="preserve"> and declared </w:t>
      </w:r>
      <w:r w:rsidR="006A2093">
        <w:rPr>
          <w:rFonts w:cs="Arial"/>
        </w:rPr>
        <w:t xml:space="preserve">mine </w:t>
      </w:r>
      <w:r w:rsidR="00991938">
        <w:rPr>
          <w:rFonts w:cs="Arial"/>
        </w:rPr>
        <w:t xml:space="preserve">land </w:t>
      </w:r>
      <w:r w:rsidR="05E3EAF8">
        <w:rPr>
          <w:rFonts w:cs="Arial"/>
        </w:rPr>
        <w:t xml:space="preserve">has been </w:t>
      </w:r>
      <w:r w:rsidR="00991938">
        <w:rPr>
          <w:rFonts w:cs="Arial"/>
        </w:rPr>
        <w:t>registered</w:t>
      </w:r>
      <w:r w:rsidRPr="00207549">
        <w:rPr>
          <w:rStyle w:val="FootnoteReference"/>
          <w:rFonts w:cs="Arial"/>
        </w:rPr>
        <w:footnoteReference w:id="4"/>
      </w:r>
      <w:r>
        <w:rPr>
          <w:rFonts w:cs="Arial"/>
          <w:vertAlign w:val="superscript"/>
        </w:rPr>
        <w:t>,</w:t>
      </w:r>
      <w:r>
        <w:rPr>
          <w:rStyle w:val="FootnoteReference"/>
          <w:rFonts w:cs="Arial"/>
        </w:rPr>
        <w:footnoteReference w:id="5"/>
      </w:r>
      <w:r>
        <w:rPr>
          <w:rFonts w:cs="Arial"/>
        </w:rPr>
        <w:t xml:space="preserve">. </w:t>
      </w:r>
      <w:r>
        <w:t xml:space="preserve">The </w:t>
      </w:r>
      <w:r w:rsidR="006148B5">
        <w:t xml:space="preserve">post </w:t>
      </w:r>
      <w:r>
        <w:t xml:space="preserve">closure plan </w:t>
      </w:r>
      <w:r w:rsidR="7127D9A3">
        <w:t>sets out how</w:t>
      </w:r>
      <w:r>
        <w:t xml:space="preserve"> these remaining risks (termed residual or </w:t>
      </w:r>
      <w:r w:rsidR="006148B5">
        <w:t>post closure</w:t>
      </w:r>
      <w:r>
        <w:t xml:space="preserve"> risks)</w:t>
      </w:r>
      <w:r w:rsidR="31B36608">
        <w:t xml:space="preserve"> will be managed</w:t>
      </w:r>
      <w:r w:rsidR="00730BF9">
        <w:t xml:space="preserve"> </w:t>
      </w:r>
      <w:r w:rsidR="01593287">
        <w:t xml:space="preserve">through </w:t>
      </w:r>
      <w:r w:rsidR="007E5843">
        <w:t xml:space="preserve">monitoring and </w:t>
      </w:r>
      <w:r w:rsidR="00431BEB">
        <w:t>maintenance</w:t>
      </w:r>
      <w:r>
        <w:t xml:space="preserve">. This is supported by other legislative mechanisms such as the registration process and the Declared Mine Fund, </w:t>
      </w:r>
      <w:r w:rsidR="707B84A2">
        <w:t>(</w:t>
      </w:r>
      <w:r>
        <w:t xml:space="preserve">which </w:t>
      </w:r>
      <w:r w:rsidR="003845A8">
        <w:t>will be established</w:t>
      </w:r>
      <w:r>
        <w:t xml:space="preserve"> to support the </w:t>
      </w:r>
      <w:r w:rsidR="006242AC">
        <w:t>surrender</w:t>
      </w:r>
      <w:r w:rsidR="00201F7A">
        <w:t xml:space="preserve"> of the mining licen</w:t>
      </w:r>
      <w:r w:rsidR="00C11FA1">
        <w:t>c</w:t>
      </w:r>
      <w:r w:rsidR="00201F7A">
        <w:t>e</w:t>
      </w:r>
      <w:r w:rsidR="45ACD4C4">
        <w:t>)</w:t>
      </w:r>
      <w:r>
        <w:t xml:space="preserve">, </w:t>
      </w:r>
      <w:r w:rsidR="36799431">
        <w:t xml:space="preserve">the </w:t>
      </w:r>
      <w:r>
        <w:t xml:space="preserve">transfer </w:t>
      </w:r>
      <w:r w:rsidR="00A376B6">
        <w:t xml:space="preserve">of </w:t>
      </w:r>
      <w:r w:rsidR="00C3696D">
        <w:t>prescribed records</w:t>
      </w:r>
      <w:r w:rsidR="007A31F9">
        <w:t xml:space="preserve"> and </w:t>
      </w:r>
      <w:r w:rsidR="00A376B6">
        <w:t xml:space="preserve">information </w:t>
      </w:r>
      <w:r>
        <w:t xml:space="preserve">and long-term management of the land. </w:t>
      </w:r>
    </w:p>
    <w:p w14:paraId="08A74E06" w14:textId="0AAFC28B" w:rsidR="00705B9D" w:rsidRDefault="00705B9D" w:rsidP="00705B9D">
      <w:r>
        <w:rPr>
          <w:rFonts w:cs="Arial"/>
        </w:rPr>
        <w:t>Understanding the residual risk profile</w:t>
      </w:r>
      <w:r w:rsidR="00A634AB">
        <w:rPr>
          <w:rFonts w:cs="Arial"/>
        </w:rPr>
        <w:t xml:space="preserve"> and the residual liabilities</w:t>
      </w:r>
      <w:r>
        <w:rPr>
          <w:rFonts w:cs="Arial"/>
        </w:rPr>
        <w:t xml:space="preserve"> (i.e.</w:t>
      </w:r>
      <w:r w:rsidR="00F707F1">
        <w:rPr>
          <w:rFonts w:cs="Arial"/>
        </w:rPr>
        <w:t xml:space="preserve"> risks and liabilities</w:t>
      </w:r>
      <w:r>
        <w:rPr>
          <w:rFonts w:cs="Arial"/>
        </w:rPr>
        <w:t xml:space="preserve"> remaining after the surrender of the mining </w:t>
      </w:r>
      <w:r w:rsidR="00C11FA1">
        <w:rPr>
          <w:rFonts w:cs="Arial"/>
        </w:rPr>
        <w:t>licence</w:t>
      </w:r>
      <w:r>
        <w:rPr>
          <w:rFonts w:cs="Arial"/>
        </w:rPr>
        <w:t xml:space="preserve">) is key to the development of a robust </w:t>
      </w:r>
      <w:r w:rsidR="006148B5">
        <w:rPr>
          <w:rFonts w:cs="Arial"/>
        </w:rPr>
        <w:t>post closure</w:t>
      </w:r>
      <w:r>
        <w:rPr>
          <w:rFonts w:cs="Arial"/>
        </w:rPr>
        <w:t xml:space="preserve"> plan and to enable the successful </w:t>
      </w:r>
      <w:r w:rsidR="00774F8E">
        <w:rPr>
          <w:rFonts w:cs="Arial"/>
        </w:rPr>
        <w:t xml:space="preserve">surrender </w:t>
      </w:r>
      <w:r>
        <w:rPr>
          <w:rFonts w:cs="Arial"/>
        </w:rPr>
        <w:t>of a mining licen</w:t>
      </w:r>
      <w:r w:rsidR="00C11FA1">
        <w:rPr>
          <w:rFonts w:cs="Arial"/>
        </w:rPr>
        <w:t>c</w:t>
      </w:r>
      <w:r>
        <w:rPr>
          <w:rFonts w:cs="Arial"/>
        </w:rPr>
        <w:t>e. Mine licensees, government and stakeholders must come to an agreement that the level of residual risk is acceptable and will be appropriately managed for</w:t>
      </w:r>
      <w:r w:rsidR="00A634AB">
        <w:rPr>
          <w:rFonts w:cs="Arial"/>
        </w:rPr>
        <w:t xml:space="preserve"> </w:t>
      </w:r>
      <w:r w:rsidR="006A7F88">
        <w:rPr>
          <w:rFonts w:cs="Arial"/>
        </w:rPr>
        <w:t>l</w:t>
      </w:r>
      <w:r w:rsidR="009062CD">
        <w:rPr>
          <w:rFonts w:cs="Arial"/>
        </w:rPr>
        <w:t>icen</w:t>
      </w:r>
      <w:r w:rsidR="00C11FA1">
        <w:rPr>
          <w:rFonts w:cs="Arial"/>
        </w:rPr>
        <w:t>c</w:t>
      </w:r>
      <w:r w:rsidR="009062CD">
        <w:rPr>
          <w:rFonts w:cs="Arial"/>
        </w:rPr>
        <w:t>e</w:t>
      </w:r>
      <w:r w:rsidR="006A7F88">
        <w:rPr>
          <w:rFonts w:cs="Arial"/>
        </w:rPr>
        <w:t xml:space="preserve"> </w:t>
      </w:r>
      <w:r w:rsidR="00A634AB">
        <w:rPr>
          <w:rFonts w:cs="Arial"/>
        </w:rPr>
        <w:t xml:space="preserve">surrender </w:t>
      </w:r>
      <w:r>
        <w:rPr>
          <w:rFonts w:cs="Arial"/>
        </w:rPr>
        <w:t>to be a reality</w:t>
      </w:r>
      <w:r>
        <w:rPr>
          <w:rStyle w:val="FootnoteReference"/>
          <w:rFonts w:cs="Arial"/>
        </w:rPr>
        <w:footnoteReference w:id="6"/>
      </w:r>
      <w:r w:rsidR="00CB7B24">
        <w:rPr>
          <w:rFonts w:cs="Arial"/>
          <w:vertAlign w:val="superscript"/>
        </w:rPr>
        <w:t>,</w:t>
      </w:r>
      <w:r w:rsidR="00CB7B24">
        <w:rPr>
          <w:rStyle w:val="FootnoteReference"/>
        </w:rPr>
        <w:footnoteReference w:id="7"/>
      </w:r>
      <w:r>
        <w:rPr>
          <w:rFonts w:cs="Arial"/>
        </w:rPr>
        <w:t xml:space="preserve">. </w:t>
      </w:r>
      <w:r w:rsidR="00C479D3">
        <w:t xml:space="preserve">Mine licensees need to provide clear, robust and transparent risk assessments and </w:t>
      </w:r>
      <w:r w:rsidR="00C479D3" w:rsidRPr="00897FA8">
        <w:t xml:space="preserve">mitigation measures </w:t>
      </w:r>
      <w:r w:rsidR="00C479D3">
        <w:t>(</w:t>
      </w:r>
      <w:r w:rsidR="00C479D3" w:rsidRPr="00897FA8">
        <w:t xml:space="preserve">implemented </w:t>
      </w:r>
      <w:r w:rsidR="00C479D3">
        <w:t xml:space="preserve">and / </w:t>
      </w:r>
      <w:r w:rsidR="00C479D3" w:rsidRPr="00897FA8">
        <w:t>or proposed</w:t>
      </w:r>
      <w:r w:rsidR="00C479D3">
        <w:t xml:space="preserve"> with clear responsibilities)</w:t>
      </w:r>
      <w:r w:rsidR="00C479D3" w:rsidDel="00FD5EC5">
        <w:t xml:space="preserve"> </w:t>
      </w:r>
      <w:r w:rsidR="00C479D3">
        <w:t>if government and stakeholders are to understand and agree upon what is</w:t>
      </w:r>
      <w:r w:rsidR="00E46E29">
        <w:t xml:space="preserve"> </w:t>
      </w:r>
      <w:r w:rsidR="00C479D3">
        <w:t>an acceptable level of residual risk</w:t>
      </w:r>
      <w:r w:rsidR="00E46E29">
        <w:t>.</w:t>
      </w:r>
    </w:p>
    <w:p w14:paraId="0AF46515" w14:textId="76A16D8A" w:rsidR="00B1755C" w:rsidRDefault="00B1755C" w:rsidP="00F00CA7">
      <w:pPr>
        <w:pStyle w:val="Heading2"/>
      </w:pPr>
      <w:bookmarkStart w:id="8" w:name="_Toc215653643"/>
      <w:bookmarkStart w:id="9" w:name="_Toc220407002"/>
      <w:r>
        <w:t>Background</w:t>
      </w:r>
      <w:bookmarkEnd w:id="8"/>
      <w:bookmarkEnd w:id="9"/>
    </w:p>
    <w:p w14:paraId="707363CC" w14:textId="22ABDC0C" w:rsidR="004D5831" w:rsidRDefault="006148B5" w:rsidP="00F11517">
      <w:r>
        <w:t xml:space="preserve">Post </w:t>
      </w:r>
      <w:r w:rsidR="00682569">
        <w:t xml:space="preserve">closure </w:t>
      </w:r>
      <w:r w:rsidR="00A72018">
        <w:t xml:space="preserve">assessment and </w:t>
      </w:r>
      <w:r w:rsidR="000736A9">
        <w:t>provisioning</w:t>
      </w:r>
      <w:r w:rsidR="4E139301">
        <w:t>,</w:t>
      </w:r>
      <w:r w:rsidR="004D5831">
        <w:t xml:space="preserve"> </w:t>
      </w:r>
      <w:r w:rsidR="4E139301">
        <w:t xml:space="preserve">meaning the work that occurs after a </w:t>
      </w:r>
      <w:r w:rsidR="00F91D5B">
        <w:t xml:space="preserve">licence </w:t>
      </w:r>
      <w:r w:rsidR="4E139301">
        <w:t xml:space="preserve">is surrendered to ensure the right </w:t>
      </w:r>
      <w:hyperlink r:id="rId18">
        <w:r w:rsidR="00424B61">
          <w:t>equipment</w:t>
        </w:r>
      </w:hyperlink>
      <w:r w:rsidR="2C5ADA44">
        <w:t xml:space="preserve">, </w:t>
      </w:r>
      <w:hyperlink r:id="rId19">
        <w:r w:rsidR="00424B61">
          <w:t>resources</w:t>
        </w:r>
      </w:hyperlink>
      <w:r w:rsidR="18BC5830">
        <w:t xml:space="preserve">, and funding are available, </w:t>
      </w:r>
      <w:r w:rsidR="000736A9">
        <w:t xml:space="preserve">is </w:t>
      </w:r>
      <w:r w:rsidR="25FAFD78">
        <w:t xml:space="preserve">still </w:t>
      </w:r>
      <w:r w:rsidR="000736A9">
        <w:t>a relatively novel idea in</w:t>
      </w:r>
      <w:r w:rsidR="00AD10B2">
        <w:t xml:space="preserve"> </w:t>
      </w:r>
      <w:r w:rsidR="000736A9">
        <w:t xml:space="preserve">mine rehabilitation </w:t>
      </w:r>
      <w:r w:rsidR="00A72018">
        <w:t>both nationally and internationally</w:t>
      </w:r>
      <w:r w:rsidR="055A0569">
        <w:t>. Only a</w:t>
      </w:r>
      <w:r w:rsidR="00E74EB7">
        <w:t xml:space="preserve"> few mining jurisdictions </w:t>
      </w:r>
      <w:r w:rsidR="0649182E">
        <w:t xml:space="preserve">currently </w:t>
      </w:r>
      <w:r w:rsidR="00E74EB7">
        <w:t>hav</w:t>
      </w:r>
      <w:r w:rsidR="3C7CF31A">
        <w:t>e</w:t>
      </w:r>
      <w:r w:rsidR="00E74EB7">
        <w:t xml:space="preserve"> robust and implement</w:t>
      </w:r>
      <w:r w:rsidR="00D660A6">
        <w:t>able framework</w:t>
      </w:r>
      <w:r w:rsidR="007E12E9">
        <w:t>s</w:t>
      </w:r>
      <w:r w:rsidR="00D660A6">
        <w:t xml:space="preserve"> in</w:t>
      </w:r>
      <w:r w:rsidR="62EFFF52">
        <w:t xml:space="preserve"> </w:t>
      </w:r>
      <w:r w:rsidR="00D660A6">
        <w:t>place</w:t>
      </w:r>
      <w:r w:rsidR="62EFFF52">
        <w:t xml:space="preserve"> to support this</w:t>
      </w:r>
      <w:r w:rsidR="00D660A6">
        <w:t xml:space="preserve">. </w:t>
      </w:r>
    </w:p>
    <w:p w14:paraId="504863E4" w14:textId="692ACACF" w:rsidR="007A50D0" w:rsidRDefault="002D65D6" w:rsidP="00F11517">
      <w:r>
        <w:t>The Institutional Control Program, set</w:t>
      </w:r>
      <w:r w:rsidR="2C17C514">
        <w:t xml:space="preserve"> </w:t>
      </w:r>
      <w:r>
        <w:t>up by the Province of Saskatchewan in Canada</w:t>
      </w:r>
      <w:r w:rsidR="0021086C">
        <w:t xml:space="preserve"> in 2007</w:t>
      </w:r>
      <w:r>
        <w:t xml:space="preserve">, is one of the few programs with a formal framework for managing </w:t>
      </w:r>
      <w:r w:rsidR="006148B5">
        <w:t>post closure</w:t>
      </w:r>
      <w:r>
        <w:t xml:space="preserve"> risks and liabilities. It is considered one of the best-developed and implemented models for long-term site stewardship</w:t>
      </w:r>
      <w:r>
        <w:rPr>
          <w:rStyle w:val="FootnoteReference"/>
        </w:rPr>
        <w:footnoteReference w:id="8"/>
      </w:r>
      <w:r>
        <w:t xml:space="preserve">. </w:t>
      </w:r>
      <w:r w:rsidR="008552E5">
        <w:t>It reflects the long-term planning and management focus necessary for former uranium mines with long lived low level radioactive wastes.</w:t>
      </w:r>
      <w:r w:rsidR="009E3CA4">
        <w:t xml:space="preserve"> It has widened its</w:t>
      </w:r>
      <w:r w:rsidR="003F68BD">
        <w:t xml:space="preserve"> remit to include</w:t>
      </w:r>
      <w:r w:rsidR="009E3CA4">
        <w:t xml:space="preserve"> other </w:t>
      </w:r>
      <w:r w:rsidR="00257A26">
        <w:t>commodities and</w:t>
      </w:r>
      <w:r w:rsidR="009E3CA4">
        <w:t xml:space="preserve"> currently manages appro</w:t>
      </w:r>
      <w:r w:rsidR="00A924BA">
        <w:t>ximately 50 closed mine sites.</w:t>
      </w:r>
    </w:p>
    <w:p w14:paraId="573C91E3" w14:textId="5E6898A8" w:rsidR="001162C3" w:rsidRDefault="006148B5" w:rsidP="00F11517">
      <w:r>
        <w:t xml:space="preserve">Post </w:t>
      </w:r>
      <w:r w:rsidR="64325354">
        <w:t xml:space="preserve">closure assessment is becoming recognised as important in Australia as more mines approach closure and where many mines may close in a single region as is particularly noticeable in the coal sector. </w:t>
      </w:r>
      <w:r w:rsidR="56AD7037">
        <w:t xml:space="preserve">Two States in Australia </w:t>
      </w:r>
      <w:r w:rsidR="08635847">
        <w:t>(</w:t>
      </w:r>
      <w:r w:rsidR="56AD7037">
        <w:t>Victoria and Queensland</w:t>
      </w:r>
      <w:r w:rsidR="08635847">
        <w:t>)</w:t>
      </w:r>
      <w:r w:rsidR="56AD7037">
        <w:t xml:space="preserve"> have </w:t>
      </w:r>
      <w:r w:rsidR="1C095FF8">
        <w:t>made</w:t>
      </w:r>
      <w:r w:rsidR="3F99CDA2">
        <w:t xml:space="preserve"> recent amendments </w:t>
      </w:r>
      <w:r w:rsidR="27F6F1E2">
        <w:t>to</w:t>
      </w:r>
      <w:r w:rsidR="3F99CDA2">
        <w:t xml:space="preserve"> legislation</w:t>
      </w:r>
      <w:r w:rsidR="2C1150AC">
        <w:t xml:space="preserve"> </w:t>
      </w:r>
      <w:r w:rsidR="06B3B20E">
        <w:t xml:space="preserve">that capture </w:t>
      </w:r>
      <w:r>
        <w:t>post closure</w:t>
      </w:r>
      <w:r w:rsidR="4FB3908B">
        <w:t xml:space="preserve"> residual risk and liabilities</w:t>
      </w:r>
      <w:r w:rsidR="00F11517">
        <w:rPr>
          <w:rStyle w:val="FootnoteReference"/>
        </w:rPr>
        <w:footnoteReference w:id="9"/>
      </w:r>
      <w:r w:rsidR="3F99CDA2">
        <w:t xml:space="preserve">. </w:t>
      </w:r>
      <w:r w:rsidR="45CF3D01">
        <w:t xml:space="preserve">However, </w:t>
      </w:r>
      <w:r w:rsidR="6A1D7760">
        <w:t xml:space="preserve">the new model </w:t>
      </w:r>
      <w:r w:rsidR="4FB3908B">
        <w:t>has yet to be fully implemented</w:t>
      </w:r>
      <w:r w:rsidR="45CF3D01">
        <w:t xml:space="preserve"> in </w:t>
      </w:r>
      <w:r w:rsidR="394A286D">
        <w:t xml:space="preserve">either </w:t>
      </w:r>
      <w:r w:rsidR="45CF3D01">
        <w:t>State</w:t>
      </w:r>
      <w:r w:rsidR="4FB3908B">
        <w:t xml:space="preserve">. Interim guidelines </w:t>
      </w:r>
      <w:r w:rsidR="7701BAE7">
        <w:t xml:space="preserve">on residual risk assessment </w:t>
      </w:r>
      <w:r w:rsidR="4FB3908B">
        <w:t xml:space="preserve">have been published by the Queensland Government, </w:t>
      </w:r>
      <w:r w:rsidR="1586E860">
        <w:t xml:space="preserve">with further work underway to develop </w:t>
      </w:r>
      <w:r w:rsidR="5858E02A">
        <w:t>the final guidelines</w:t>
      </w:r>
      <w:r w:rsidR="4FB3908B">
        <w:t xml:space="preserve">. </w:t>
      </w:r>
      <w:r w:rsidR="75588C19">
        <w:lastRenderedPageBreak/>
        <w:t xml:space="preserve">Whilst </w:t>
      </w:r>
      <w:r w:rsidR="1BC5B305">
        <w:t>this is increasing</w:t>
      </w:r>
      <w:r w:rsidR="3C7AD91F">
        <w:t>ly</w:t>
      </w:r>
      <w:r w:rsidR="1BC5B305">
        <w:t xml:space="preserve"> </w:t>
      </w:r>
      <w:r w:rsidR="7F88B72C">
        <w:t xml:space="preserve">becoming an </w:t>
      </w:r>
      <w:r w:rsidR="1BC5B305">
        <w:t xml:space="preserve">area of interest in the mining community, </w:t>
      </w:r>
      <w:r w:rsidR="5A236F00">
        <w:t xml:space="preserve">there is </w:t>
      </w:r>
      <w:r w:rsidR="5858E02A">
        <w:t>currently</w:t>
      </w:r>
      <w:r w:rsidR="4E3C248D">
        <w:t xml:space="preserve"> little</w:t>
      </w:r>
      <w:r w:rsidR="5A236F00">
        <w:t xml:space="preserve"> information </w:t>
      </w:r>
      <w:r w:rsidR="0C4AC39E">
        <w:t>or</w:t>
      </w:r>
      <w:r w:rsidR="5A236F00">
        <w:t xml:space="preserve"> guidance available.</w:t>
      </w:r>
      <w:r w:rsidR="61E21691">
        <w:t xml:space="preserve"> </w:t>
      </w:r>
    </w:p>
    <w:p w14:paraId="070CB7EA" w14:textId="4F1D17F3" w:rsidR="00D109A2" w:rsidRDefault="00D109A2" w:rsidP="00D109A2">
      <w:pPr>
        <w:pStyle w:val="Heading2"/>
      </w:pPr>
      <w:bookmarkStart w:id="10" w:name="_Toc215653644"/>
      <w:bookmarkStart w:id="11" w:name="_Toc220407003"/>
      <w:r>
        <w:t>Disclaimer</w:t>
      </w:r>
      <w:bookmarkEnd w:id="10"/>
      <w:bookmarkEnd w:id="11"/>
    </w:p>
    <w:p w14:paraId="31507E12" w14:textId="77777777" w:rsidR="00533445" w:rsidRDefault="00D109A2" w:rsidP="00D109A2">
      <w:r>
        <w:t xml:space="preserve">The information </w:t>
      </w:r>
      <w:r w:rsidR="4BBE820C">
        <w:t>outlined</w:t>
      </w:r>
      <w:r>
        <w:t xml:space="preserve"> in this discussion paper has been </w:t>
      </w:r>
      <w:r w:rsidR="071FAA79">
        <w:t>drafted</w:t>
      </w:r>
      <w:r>
        <w:t xml:space="preserve"> </w:t>
      </w:r>
      <w:r w:rsidR="00EA7381">
        <w:t>by</w:t>
      </w:r>
      <w:r>
        <w:t xml:space="preserve"> </w:t>
      </w:r>
      <w:r w:rsidR="4C1DA24D">
        <w:t xml:space="preserve">the </w:t>
      </w:r>
      <w:r>
        <w:t>MLRA in good faith</w:t>
      </w:r>
      <w:r w:rsidR="00A12447">
        <w:t xml:space="preserve"> and intends to provide </w:t>
      </w:r>
      <w:r w:rsidR="00953C23">
        <w:t xml:space="preserve">some interim information </w:t>
      </w:r>
      <w:r w:rsidR="00C02EF4">
        <w:t xml:space="preserve">for consideration </w:t>
      </w:r>
      <w:r w:rsidR="008766D9">
        <w:t>by</w:t>
      </w:r>
      <w:r w:rsidR="00533445">
        <w:t>:</w:t>
      </w:r>
    </w:p>
    <w:p w14:paraId="691197E4" w14:textId="52F5537A" w:rsidR="00533445" w:rsidRDefault="008766D9" w:rsidP="00E7024F">
      <w:pPr>
        <w:pStyle w:val="ListParagraph"/>
        <w:numPr>
          <w:ilvl w:val="0"/>
          <w:numId w:val="25"/>
        </w:numPr>
      </w:pPr>
      <w:r>
        <w:t>mine licensees</w:t>
      </w:r>
      <w:r w:rsidR="00214557">
        <w:t xml:space="preserve">, </w:t>
      </w:r>
      <w:r w:rsidR="00FC03BF">
        <w:t>during the preparation of their Declared Mine Rehabilitation Plans</w:t>
      </w:r>
      <w:r w:rsidR="00F243FE">
        <w:t xml:space="preserve"> </w:t>
      </w:r>
      <w:r w:rsidR="00AB7A12">
        <w:t>(DMRPs)</w:t>
      </w:r>
      <w:r w:rsidR="005C68FD">
        <w:t xml:space="preserve">, which includes a </w:t>
      </w:r>
      <w:r w:rsidR="006148B5">
        <w:t>post closure</w:t>
      </w:r>
      <w:r w:rsidR="002A7304">
        <w:t xml:space="preserve"> plan</w:t>
      </w:r>
      <w:r w:rsidR="005A2955">
        <w:t>,</w:t>
      </w:r>
      <w:r w:rsidR="005A2955" w:rsidRPr="005A2955">
        <w:t xml:space="preserve"> </w:t>
      </w:r>
      <w:r w:rsidR="005A2955">
        <w:t xml:space="preserve">and </w:t>
      </w:r>
    </w:p>
    <w:p w14:paraId="50110DF5" w14:textId="06FE2751" w:rsidR="00902074" w:rsidRDefault="5ECE35A2" w:rsidP="00E7024F">
      <w:pPr>
        <w:pStyle w:val="ListParagraph"/>
        <w:numPr>
          <w:ilvl w:val="0"/>
          <w:numId w:val="25"/>
        </w:numPr>
      </w:pPr>
      <w:r>
        <w:t>G</w:t>
      </w:r>
      <w:r w:rsidR="005A2955">
        <w:t>overnment</w:t>
      </w:r>
      <w:r>
        <w:t>,</w:t>
      </w:r>
      <w:r w:rsidR="005A2955">
        <w:t xml:space="preserve"> during the assessment of the DMRPs</w:t>
      </w:r>
      <w:r w:rsidR="00EB41F5">
        <w:t>.</w:t>
      </w:r>
      <w:r w:rsidR="00F3051F">
        <w:t xml:space="preserve"> </w:t>
      </w:r>
    </w:p>
    <w:p w14:paraId="399743C8" w14:textId="4015F142" w:rsidR="00DD5E4B" w:rsidRDefault="00E039AC" w:rsidP="00D109A2">
      <w:r>
        <w:t xml:space="preserve">This paper does </w:t>
      </w:r>
      <w:r w:rsidR="00C02EF4">
        <w:t xml:space="preserve">not </w:t>
      </w:r>
      <w:r w:rsidR="00B31CDC">
        <w:t>replace</w:t>
      </w:r>
      <w:r w:rsidR="008873DE">
        <w:t>, preclude or overwrite any</w:t>
      </w:r>
      <w:r w:rsidR="001D22FB">
        <w:t xml:space="preserve"> legislat</w:t>
      </w:r>
      <w:r w:rsidR="00127027">
        <w:t>ion</w:t>
      </w:r>
      <w:r w:rsidR="001D22FB">
        <w:t xml:space="preserve"> or</w:t>
      </w:r>
      <w:r w:rsidR="008873DE">
        <w:t xml:space="preserve"> guidance material published by </w:t>
      </w:r>
      <w:r w:rsidR="00D66DF0">
        <w:t xml:space="preserve">Resources Victoria </w:t>
      </w:r>
      <w:r w:rsidR="000D403C">
        <w:t xml:space="preserve">relating to the </w:t>
      </w:r>
      <w:r w:rsidR="003F2904">
        <w:t xml:space="preserve">Declared Mine </w:t>
      </w:r>
      <w:r w:rsidR="006148B5">
        <w:t xml:space="preserve">Post </w:t>
      </w:r>
      <w:r w:rsidR="007C3F83">
        <w:t>Closure</w:t>
      </w:r>
      <w:r w:rsidR="003F2904">
        <w:t xml:space="preserve"> Plan or </w:t>
      </w:r>
      <w:r w:rsidR="006148B5">
        <w:t>post closure</w:t>
      </w:r>
      <w:r w:rsidR="008B287B">
        <w:t xml:space="preserve"> risk assessment</w:t>
      </w:r>
      <w:r w:rsidR="007C3F83">
        <w:t>s</w:t>
      </w:r>
      <w:r w:rsidR="00C22474" w:rsidRPr="00C22474">
        <w:t xml:space="preserve"> </w:t>
      </w:r>
      <w:r w:rsidR="00C22474">
        <w:t>and is only intended as supportive guidance if and where it is deemed helpful</w:t>
      </w:r>
      <w:r w:rsidR="00712588">
        <w:t xml:space="preserve">. </w:t>
      </w:r>
      <w:r w:rsidR="00CB6A9D">
        <w:t xml:space="preserve">The use of this material is </w:t>
      </w:r>
      <w:r w:rsidR="00CB6A9D" w:rsidRPr="00F00CA7">
        <w:t>at the discretion of the mine licensees</w:t>
      </w:r>
      <w:r w:rsidR="00CB6A9D">
        <w:t xml:space="preserve">. </w:t>
      </w:r>
    </w:p>
    <w:p w14:paraId="09CF0B03" w14:textId="1A80CA04" w:rsidR="00160CAE" w:rsidRDefault="00160CAE" w:rsidP="00091BF5">
      <w:pPr>
        <w:pStyle w:val="Heading1"/>
      </w:pPr>
      <w:bookmarkStart w:id="12" w:name="_Toc215653645"/>
      <w:bookmarkStart w:id="13" w:name="_Toc220407004"/>
      <w:r>
        <w:t xml:space="preserve">Defining the </w:t>
      </w:r>
      <w:r w:rsidR="006148B5">
        <w:t>post closure</w:t>
      </w:r>
      <w:r>
        <w:t xml:space="preserve"> phase</w:t>
      </w:r>
      <w:bookmarkEnd w:id="12"/>
      <w:bookmarkEnd w:id="13"/>
    </w:p>
    <w:p w14:paraId="44EDCC47" w14:textId="450274DE" w:rsidR="00160CAE" w:rsidRDefault="005378B5" w:rsidP="00160CAE">
      <w:r>
        <w:t>As p</w:t>
      </w:r>
      <w:r w:rsidR="001E6926">
        <w:t>resented in yellow in</w:t>
      </w:r>
      <w:r w:rsidR="00160CAE" w:rsidRPr="00AB70A4">
        <w:t xml:space="preserve"> </w:t>
      </w:r>
      <w:r w:rsidR="00561E0A">
        <w:fldChar w:fldCharType="begin"/>
      </w:r>
      <w:r w:rsidR="00561E0A">
        <w:instrText xml:space="preserve"> REF _Ref209519441 \h </w:instrText>
      </w:r>
      <w:r w:rsidR="00561E0A">
        <w:fldChar w:fldCharType="separate"/>
      </w:r>
      <w:r w:rsidR="001C0481">
        <w:t xml:space="preserve">Figure </w:t>
      </w:r>
      <w:r w:rsidR="001C0481">
        <w:rPr>
          <w:noProof/>
        </w:rPr>
        <w:t>1</w:t>
      </w:r>
      <w:r w:rsidR="00561E0A">
        <w:fldChar w:fldCharType="end"/>
      </w:r>
      <w:r w:rsidR="00561E0A">
        <w:t xml:space="preserve"> </w:t>
      </w:r>
      <w:r w:rsidR="001E6926">
        <w:t>below</w:t>
      </w:r>
      <w:r w:rsidR="00160CAE">
        <w:t>, t</w:t>
      </w:r>
      <w:r w:rsidR="00160CAE" w:rsidRPr="00AB70A4">
        <w:t xml:space="preserve">he </w:t>
      </w:r>
      <w:r w:rsidR="006148B5">
        <w:t>post closure</w:t>
      </w:r>
      <w:r w:rsidR="00160CAE" w:rsidRPr="00AB70A4">
        <w:t xml:space="preserve"> period</w:t>
      </w:r>
      <w:r w:rsidR="00160CAE">
        <w:t xml:space="preserve"> referred to in</w:t>
      </w:r>
      <w:r w:rsidR="00160CAE" w:rsidRPr="00AB70A4">
        <w:t xml:space="preserve"> Victoria’s legislation is </w:t>
      </w:r>
      <w:r w:rsidR="00160CAE">
        <w:t>defined as the</w:t>
      </w:r>
      <w:r w:rsidR="00160CAE" w:rsidRPr="00AB70A4">
        <w:t xml:space="preserve"> period</w:t>
      </w:r>
      <w:r w:rsidR="00160CAE">
        <w:t xml:space="preserve"> following the completion of </w:t>
      </w:r>
      <w:r w:rsidR="00160CAE" w:rsidRPr="00AB70A4">
        <w:rPr>
          <w:u w:val="single"/>
        </w:rPr>
        <w:t>all</w:t>
      </w:r>
      <w:r w:rsidR="00160CAE">
        <w:t xml:space="preserve"> the following activities</w:t>
      </w:r>
      <w:r w:rsidR="00FC629C">
        <w:t xml:space="preserve"> by the declared </w:t>
      </w:r>
      <w:proofErr w:type="gramStart"/>
      <w:r w:rsidR="00FC629C">
        <w:t>mine</w:t>
      </w:r>
      <w:proofErr w:type="gramEnd"/>
      <w:r w:rsidR="00FC629C">
        <w:t xml:space="preserve"> licensee</w:t>
      </w:r>
      <w:r w:rsidR="00160CAE">
        <w:t>:</w:t>
      </w:r>
    </w:p>
    <w:p w14:paraId="71C2A000" w14:textId="2A59F2A1" w:rsidR="00160CAE" w:rsidRDefault="00160CAE" w:rsidP="00904A18">
      <w:pPr>
        <w:pStyle w:val="ListParagraph"/>
        <w:numPr>
          <w:ilvl w:val="0"/>
          <w:numId w:val="12"/>
        </w:numPr>
      </w:pPr>
      <w:r>
        <w:t xml:space="preserve">mining </w:t>
      </w:r>
      <w:r w:rsidRPr="00AB70A4">
        <w:t>operations</w:t>
      </w:r>
      <w:r>
        <w:t xml:space="preserve"> </w:t>
      </w:r>
    </w:p>
    <w:p w14:paraId="52810288" w14:textId="57BDE467" w:rsidR="00160CAE" w:rsidRDefault="00160CAE" w:rsidP="00904A18">
      <w:pPr>
        <w:pStyle w:val="ListParagraph"/>
        <w:numPr>
          <w:ilvl w:val="0"/>
          <w:numId w:val="12"/>
        </w:numPr>
      </w:pPr>
      <w:r w:rsidRPr="00AB70A4">
        <w:t xml:space="preserve">rehabilitation (active and passive rehabilitation) </w:t>
      </w:r>
      <w:r>
        <w:t xml:space="preserve">activities </w:t>
      </w:r>
    </w:p>
    <w:p w14:paraId="3A4AEFDA" w14:textId="2AF01C0F" w:rsidR="00160CAE" w:rsidRDefault="00B27B2E" w:rsidP="00904A18">
      <w:pPr>
        <w:pStyle w:val="ListParagraph"/>
        <w:numPr>
          <w:ilvl w:val="0"/>
          <w:numId w:val="12"/>
        </w:numPr>
      </w:pPr>
      <w:r>
        <w:t xml:space="preserve">achievement of </w:t>
      </w:r>
      <w:r w:rsidR="00160CAE" w:rsidRPr="00AB70A4">
        <w:t xml:space="preserve">closure criteria </w:t>
      </w:r>
      <w:r w:rsidR="00AB3BB4">
        <w:t>(also referred to as closure determination)</w:t>
      </w:r>
      <w:r w:rsidR="00160CAE" w:rsidRPr="00AB70A4">
        <w:t xml:space="preserve"> </w:t>
      </w:r>
    </w:p>
    <w:p w14:paraId="467A4C23" w14:textId="232D6D02" w:rsidR="003143F6" w:rsidRDefault="00806507" w:rsidP="00904A18">
      <w:pPr>
        <w:pStyle w:val="ListParagraph"/>
        <w:numPr>
          <w:ilvl w:val="0"/>
          <w:numId w:val="12"/>
        </w:numPr>
      </w:pPr>
      <w:r>
        <w:t>surrender of the</w:t>
      </w:r>
      <w:r w:rsidRPr="00AB70A4">
        <w:t xml:space="preserve"> </w:t>
      </w:r>
      <w:r w:rsidR="00160CAE">
        <w:t>min</w:t>
      </w:r>
      <w:r w:rsidR="00E32C16">
        <w:t>ing</w:t>
      </w:r>
      <w:r w:rsidR="00160CAE">
        <w:t xml:space="preserve"> </w:t>
      </w:r>
      <w:r w:rsidR="007C1B95" w:rsidRPr="00AB70A4">
        <w:t>licen</w:t>
      </w:r>
      <w:r w:rsidR="007C1B95">
        <w:t>c</w:t>
      </w:r>
      <w:r w:rsidR="007C1B95" w:rsidRPr="00AB70A4">
        <w:t>e</w:t>
      </w:r>
    </w:p>
    <w:p w14:paraId="4014D43E" w14:textId="2CB09A23" w:rsidR="009B1F0A" w:rsidRDefault="009B1F0A" w:rsidP="00904A18">
      <w:pPr>
        <w:pStyle w:val="ListParagraph"/>
        <w:numPr>
          <w:ilvl w:val="0"/>
          <w:numId w:val="12"/>
        </w:numPr>
      </w:pPr>
      <w:r>
        <w:t>return of the bond</w:t>
      </w:r>
    </w:p>
    <w:p w14:paraId="67E04CDE" w14:textId="4A906CB9" w:rsidR="00160CAE" w:rsidRDefault="00D019A3" w:rsidP="00904A18">
      <w:pPr>
        <w:pStyle w:val="ListParagraph"/>
        <w:numPr>
          <w:ilvl w:val="0"/>
          <w:numId w:val="12"/>
        </w:numPr>
      </w:pPr>
      <w:r>
        <w:t xml:space="preserve">provision to the </w:t>
      </w:r>
      <w:r w:rsidR="003143F6">
        <w:t>MLRA</w:t>
      </w:r>
      <w:r w:rsidR="003143F6" w:rsidRPr="003143F6">
        <w:t xml:space="preserve"> </w:t>
      </w:r>
      <w:r>
        <w:t xml:space="preserve">of </w:t>
      </w:r>
      <w:r w:rsidR="003143F6" w:rsidRPr="003143F6">
        <w:t>prescribed records and information</w:t>
      </w:r>
    </w:p>
    <w:p w14:paraId="12565781" w14:textId="2964B9E9" w:rsidR="00B27B2E" w:rsidRDefault="007B4582" w:rsidP="00904A18">
      <w:pPr>
        <w:pStyle w:val="ListParagraph"/>
        <w:numPr>
          <w:ilvl w:val="0"/>
          <w:numId w:val="12"/>
        </w:numPr>
      </w:pPr>
      <w:r>
        <w:t>registration of the</w:t>
      </w:r>
      <w:r w:rsidRPr="00AB70A4">
        <w:t xml:space="preserve"> </w:t>
      </w:r>
      <w:r w:rsidR="00160CAE" w:rsidRPr="00AB70A4">
        <w:t xml:space="preserve">declared mine land </w:t>
      </w:r>
      <w:r w:rsidR="00285CD8">
        <w:t xml:space="preserve">and </w:t>
      </w:r>
      <w:r w:rsidR="00285CD8" w:rsidRPr="00285CD8">
        <w:t xml:space="preserve">the </w:t>
      </w:r>
      <w:r w:rsidR="006148B5">
        <w:t>post closure</w:t>
      </w:r>
      <w:r w:rsidR="00285CD8" w:rsidRPr="00285CD8">
        <w:t xml:space="preserve"> plan</w:t>
      </w:r>
      <w:r w:rsidR="00F4134E">
        <w:rPr>
          <w:rStyle w:val="FootnoteReference"/>
        </w:rPr>
        <w:footnoteReference w:id="10"/>
      </w:r>
      <w:r w:rsidR="00285CD8">
        <w:t xml:space="preserve"> </w:t>
      </w:r>
      <w:r w:rsidR="00160CAE" w:rsidRPr="00AB70A4">
        <w:t>with the MLRA</w:t>
      </w:r>
      <w:r w:rsidR="0072610E">
        <w:t xml:space="preserve"> </w:t>
      </w:r>
      <w:r w:rsidR="484F93CB">
        <w:t xml:space="preserve">and </w:t>
      </w:r>
      <w:r w:rsidR="003E13D1">
        <w:t>adding them to</w:t>
      </w:r>
      <w:r w:rsidR="0072610E">
        <w:t xml:space="preserve"> the declared mine </w:t>
      </w:r>
      <w:r w:rsidR="008E4198">
        <w:t>land register</w:t>
      </w:r>
      <w:r w:rsidR="00B27B2E">
        <w:t>,</w:t>
      </w:r>
      <w:r w:rsidR="00B27B2E" w:rsidRPr="00AB70A4">
        <w:t xml:space="preserve"> and</w:t>
      </w:r>
    </w:p>
    <w:p w14:paraId="22F1D637" w14:textId="4AA40E63" w:rsidR="00160CAE" w:rsidRPr="00AB70A4" w:rsidRDefault="00131E4A" w:rsidP="00904A18">
      <w:pPr>
        <w:pStyle w:val="ListParagraph"/>
        <w:numPr>
          <w:ilvl w:val="0"/>
          <w:numId w:val="12"/>
        </w:numPr>
      </w:pPr>
      <w:r>
        <w:t xml:space="preserve">receipt of payment into the </w:t>
      </w:r>
      <w:r w:rsidR="00BF3E7C">
        <w:t>Declared Mine Fund</w:t>
      </w:r>
      <w:r w:rsidR="00160CAE" w:rsidRPr="00AB70A4">
        <w:t xml:space="preserve">. </w:t>
      </w:r>
    </w:p>
    <w:p w14:paraId="0D72955B" w14:textId="7210A403" w:rsidR="008A3034" w:rsidRDefault="007D6E21" w:rsidP="008A3034">
      <w:pPr>
        <w:keepNext/>
      </w:pPr>
      <w:r>
        <w:rPr>
          <w:noProof/>
        </w:rPr>
        <w:drawing>
          <wp:inline distT="0" distB="0" distL="0" distR="0" wp14:anchorId="3662D865" wp14:editId="42640240">
            <wp:extent cx="5853274" cy="2288098"/>
            <wp:effectExtent l="0" t="0" r="0" b="0"/>
            <wp:docPr id="477971273" name="Picture 1" descr="Flow chart of a mine cycle and rehabilitation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1273" name="Picture 1" descr="Flow chart of a mine cycle and rehabilitation stag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73754" cy="2296104"/>
                    </a:xfrm>
                    <a:prstGeom prst="rect">
                      <a:avLst/>
                    </a:prstGeom>
                    <a:noFill/>
                  </pic:spPr>
                </pic:pic>
              </a:graphicData>
            </a:graphic>
          </wp:inline>
        </w:drawing>
      </w:r>
    </w:p>
    <w:p w14:paraId="66F496C1" w14:textId="0D63EF07" w:rsidR="008A3034" w:rsidRDefault="008A3034" w:rsidP="00F12194">
      <w:pPr>
        <w:pStyle w:val="Caption"/>
      </w:pPr>
      <w:bookmarkStart w:id="14" w:name="_Ref209519441"/>
      <w:r>
        <w:t xml:space="preserve">Figure </w:t>
      </w:r>
      <w:r w:rsidR="00561E0A">
        <w:fldChar w:fldCharType="begin"/>
      </w:r>
      <w:r w:rsidR="00561E0A">
        <w:instrText xml:space="preserve"> SEQ Figure \* ARABIC </w:instrText>
      </w:r>
      <w:r w:rsidR="00561E0A">
        <w:fldChar w:fldCharType="separate"/>
      </w:r>
      <w:r w:rsidR="001C0481">
        <w:rPr>
          <w:noProof/>
        </w:rPr>
        <w:t>1</w:t>
      </w:r>
      <w:r w:rsidR="00561E0A">
        <w:rPr>
          <w:noProof/>
        </w:rPr>
        <w:fldChar w:fldCharType="end"/>
      </w:r>
      <w:bookmarkEnd w:id="14"/>
      <w:r>
        <w:tab/>
        <w:t xml:space="preserve">Mining Lifecycle, </w:t>
      </w:r>
      <w:r w:rsidR="00D06504">
        <w:t xml:space="preserve">adapted </w:t>
      </w:r>
      <w:r>
        <w:t>from DEECA (2025)</w:t>
      </w:r>
      <w:r w:rsidR="00FA7205">
        <w:rPr>
          <w:rStyle w:val="FootnoteReference"/>
        </w:rPr>
        <w:footnoteReference w:id="11"/>
      </w:r>
    </w:p>
    <w:p w14:paraId="128D0714" w14:textId="3E2B8E6A" w:rsidR="00842D9B" w:rsidRDefault="005B5BFE" w:rsidP="00842D9B">
      <w:r>
        <w:t xml:space="preserve">During operations and rehabilitation, risks are managed by trained and experienced personnel through active monitoring, with site access restricted. The mine licensee is responsible for the mine site and all activities within the </w:t>
      </w:r>
      <w:r w:rsidR="007C1B95">
        <w:t xml:space="preserve">licence </w:t>
      </w:r>
      <w:r>
        <w:t xml:space="preserve">boundary. However, </w:t>
      </w:r>
      <w:r w:rsidR="00B41BD2">
        <w:t>a</w:t>
      </w:r>
      <w:r w:rsidR="00CD3B3D">
        <w:t xml:space="preserve">s a mine site transitions </w:t>
      </w:r>
      <w:r w:rsidR="00C4546A">
        <w:t xml:space="preserve">away </w:t>
      </w:r>
      <w:r w:rsidR="00CD3B3D">
        <w:t xml:space="preserve">from the </w:t>
      </w:r>
      <w:r w:rsidR="00CD3B3D">
        <w:lastRenderedPageBreak/>
        <w:t>operational</w:t>
      </w:r>
      <w:r w:rsidR="00C4546A">
        <w:t xml:space="preserve"> and</w:t>
      </w:r>
      <w:r w:rsidR="00CD3B3D">
        <w:t xml:space="preserve"> rehabilitation </w:t>
      </w:r>
      <w:r w:rsidR="00C4546A">
        <w:t xml:space="preserve">phases, </w:t>
      </w:r>
      <w:r w:rsidR="00CD3B3D">
        <w:t>and</w:t>
      </w:r>
      <w:r w:rsidR="00C4546A">
        <w:t xml:space="preserve"> into the</w:t>
      </w:r>
      <w:r w:rsidR="00CD3B3D">
        <w:t xml:space="preserve"> </w:t>
      </w:r>
      <w:r w:rsidR="006148B5">
        <w:t>post closure</w:t>
      </w:r>
      <w:r w:rsidR="00CD3B3D">
        <w:t xml:space="preserve"> phase</w:t>
      </w:r>
      <w:r w:rsidR="001A46D2">
        <w:t>, the following key changes occur:</w:t>
      </w:r>
    </w:p>
    <w:p w14:paraId="38266FD7" w14:textId="5A897920" w:rsidR="00B41BD2" w:rsidRDefault="00842D9B" w:rsidP="00904A18">
      <w:pPr>
        <w:pStyle w:val="ListParagraph"/>
        <w:numPr>
          <w:ilvl w:val="0"/>
          <w:numId w:val="9"/>
        </w:numPr>
      </w:pPr>
      <w:r>
        <w:t xml:space="preserve">the mine licensee </w:t>
      </w:r>
      <w:r w:rsidR="22116484">
        <w:t xml:space="preserve">is </w:t>
      </w:r>
      <w:r>
        <w:t>no longer responsible for the site</w:t>
      </w:r>
      <w:r w:rsidR="0022628B">
        <w:t xml:space="preserve"> in accordance with </w:t>
      </w:r>
      <w:r>
        <w:t xml:space="preserve">regulated operational mining requirements </w:t>
      </w:r>
    </w:p>
    <w:p w14:paraId="7AD4E8EF" w14:textId="445A5AA5" w:rsidR="00B41BD2" w:rsidRDefault="00B41BD2" w:rsidP="00904A18">
      <w:pPr>
        <w:pStyle w:val="ListParagraph"/>
        <w:numPr>
          <w:ilvl w:val="0"/>
          <w:numId w:val="9"/>
        </w:numPr>
      </w:pPr>
      <w:r>
        <w:t>o</w:t>
      </w:r>
      <w:r w:rsidR="00842D9B">
        <w:t xml:space="preserve">ngoing liabilities and risks </w:t>
      </w:r>
      <w:r w:rsidR="26205E2A">
        <w:t>are</w:t>
      </w:r>
      <w:r>
        <w:t xml:space="preserve"> now</w:t>
      </w:r>
      <w:r w:rsidR="00842D9B">
        <w:t xml:space="preserve"> managed by the landowner(s) or the MLRA</w:t>
      </w:r>
    </w:p>
    <w:p w14:paraId="0E45F729" w14:textId="05A5D8B4" w:rsidR="00842D9B" w:rsidRDefault="00450358" w:rsidP="00904A18">
      <w:pPr>
        <w:pStyle w:val="ListParagraph"/>
        <w:numPr>
          <w:ilvl w:val="0"/>
          <w:numId w:val="9"/>
        </w:numPr>
      </w:pPr>
      <w:r>
        <w:t>c</w:t>
      </w:r>
      <w:r w:rsidR="00842D9B">
        <w:t xml:space="preserve">hanges to land use such as agricultural, recreational, or others may have </w:t>
      </w:r>
      <w:r w:rsidR="008360B7">
        <w:t xml:space="preserve">been </w:t>
      </w:r>
      <w:r w:rsidR="00842D9B">
        <w:t>implemented</w:t>
      </w:r>
      <w:r w:rsidR="3F5DF5D4">
        <w:t xml:space="preserve"> or may be in progress</w:t>
      </w:r>
      <w:r w:rsidR="00842D9B">
        <w:t xml:space="preserve">, and site </w:t>
      </w:r>
      <w:r w:rsidR="1A35F242">
        <w:t xml:space="preserve">access </w:t>
      </w:r>
      <w:r w:rsidR="00842D9B">
        <w:t xml:space="preserve">may no longer </w:t>
      </w:r>
      <w:r w:rsidR="0FBEB61F">
        <w:t xml:space="preserve">be </w:t>
      </w:r>
      <w:r w:rsidR="00842D9B">
        <w:t xml:space="preserve">restricted. </w:t>
      </w:r>
    </w:p>
    <w:p w14:paraId="74A23E81" w14:textId="31B3D89D" w:rsidR="00705B9D" w:rsidRDefault="00091BF5" w:rsidP="00091BF5">
      <w:pPr>
        <w:pStyle w:val="Heading1"/>
      </w:pPr>
      <w:bookmarkStart w:id="15" w:name="_Ref209107147"/>
      <w:bookmarkStart w:id="16" w:name="_Toc215653646"/>
      <w:bookmarkStart w:id="17" w:name="_Toc220407005"/>
      <w:r>
        <w:t>What are residual risks</w:t>
      </w:r>
      <w:r w:rsidR="002B40C1">
        <w:t xml:space="preserve"> and liabilities</w:t>
      </w:r>
      <w:r>
        <w:t>?</w:t>
      </w:r>
      <w:bookmarkEnd w:id="15"/>
      <w:bookmarkEnd w:id="16"/>
      <w:bookmarkEnd w:id="17"/>
    </w:p>
    <w:p w14:paraId="290AC123" w14:textId="0BBE4426" w:rsidR="00F35A7D" w:rsidRDefault="6CD10D07" w:rsidP="00705B9D">
      <w:r>
        <w:t>R</w:t>
      </w:r>
      <w:r w:rsidR="30121020">
        <w:t>e</w:t>
      </w:r>
      <w:r w:rsidR="5B8EA607">
        <w:t>sidual risks</w:t>
      </w:r>
      <w:r w:rsidR="0246BBED">
        <w:t xml:space="preserve"> and liabilities</w:t>
      </w:r>
      <w:r w:rsidR="5B8EA607">
        <w:t xml:space="preserve"> </w:t>
      </w:r>
      <w:r w:rsidR="722D6E5A">
        <w:t xml:space="preserve">are defined as </w:t>
      </w:r>
      <w:r>
        <w:t>those</w:t>
      </w:r>
      <w:r w:rsidR="722D6E5A" w:rsidRPr="007E65A2">
        <w:t xml:space="preserve"> that remain after all</w:t>
      </w:r>
      <w:r>
        <w:t xml:space="preserve"> mine</w:t>
      </w:r>
      <w:r w:rsidR="722D6E5A" w:rsidRPr="007E65A2">
        <w:t xml:space="preserve"> closure activities have been completed</w:t>
      </w:r>
      <w:r w:rsidR="0049704D">
        <w:rPr>
          <w:rStyle w:val="FootnoteReference"/>
        </w:rPr>
        <w:footnoteReference w:id="12"/>
      </w:r>
      <w:r w:rsidR="722D6E5A" w:rsidRPr="007E65A2">
        <w:t>.</w:t>
      </w:r>
      <w:r w:rsidR="0246BBED">
        <w:t xml:space="preserve"> Specifically in Victoria, </w:t>
      </w:r>
      <w:r w:rsidR="64174EFA">
        <w:t xml:space="preserve">they are </w:t>
      </w:r>
      <w:r w:rsidR="0246BBED">
        <w:t xml:space="preserve">defined as </w:t>
      </w:r>
      <w:r w:rsidR="7658151C">
        <w:t>“</w:t>
      </w:r>
      <w:r w:rsidR="6074E750" w:rsidRPr="5EBF91C7">
        <w:rPr>
          <w:i/>
          <w:iCs/>
        </w:rPr>
        <w:t xml:space="preserve">any </w:t>
      </w:r>
      <w:r w:rsidR="5E8FE215" w:rsidRPr="5EBF91C7">
        <w:rPr>
          <w:i/>
          <w:iCs/>
        </w:rPr>
        <w:t>liability that exists after the determination by the Minister that closure criteria have been met and the mining licence surrendered</w:t>
      </w:r>
      <w:r w:rsidR="7658151C" w:rsidRPr="5EBF91C7">
        <w:rPr>
          <w:i/>
          <w:iCs/>
        </w:rPr>
        <w:t>”</w:t>
      </w:r>
      <w:r w:rsidR="00473839">
        <w:rPr>
          <w:rStyle w:val="FootnoteReference"/>
        </w:rPr>
        <w:footnoteReference w:id="13"/>
      </w:r>
      <w:r w:rsidR="6074E750">
        <w:t xml:space="preserve">. </w:t>
      </w:r>
      <w:r w:rsidR="39CF8C7E">
        <w:t xml:space="preserve">These specifically apply to the </w:t>
      </w:r>
      <w:r w:rsidR="006148B5">
        <w:t>post closure</w:t>
      </w:r>
      <w:r w:rsidR="39CF8C7E">
        <w:t xml:space="preserve"> phase of the mining lifecycle (highlighted by </w:t>
      </w:r>
      <w:r w:rsidR="2A390A90">
        <w:t xml:space="preserve">the </w:t>
      </w:r>
      <w:r w:rsidR="39CF8C7E">
        <w:t xml:space="preserve">yellow arrow in </w:t>
      </w:r>
      <w:r w:rsidR="00207956">
        <w:fldChar w:fldCharType="begin"/>
      </w:r>
      <w:r w:rsidR="00207956">
        <w:instrText xml:space="preserve"> REF _Ref209519441 \h </w:instrText>
      </w:r>
      <w:r w:rsidR="00207956">
        <w:fldChar w:fldCharType="separate"/>
      </w:r>
      <w:r w:rsidR="001C0481">
        <w:t xml:space="preserve">Figure </w:t>
      </w:r>
      <w:r w:rsidR="001C0481">
        <w:rPr>
          <w:noProof/>
        </w:rPr>
        <w:t>1</w:t>
      </w:r>
      <w:r w:rsidR="00207956">
        <w:fldChar w:fldCharType="end"/>
      </w:r>
      <w:r w:rsidR="39CF8C7E">
        <w:t>).</w:t>
      </w:r>
    </w:p>
    <w:p w14:paraId="0ADECA42" w14:textId="4F43B3A2" w:rsidR="00A323D2" w:rsidRDefault="006818F0" w:rsidP="006818F0">
      <w:r>
        <w:t>The</w:t>
      </w:r>
      <w:r w:rsidR="00304354" w:rsidRPr="00304354">
        <w:t xml:space="preserve"> </w:t>
      </w:r>
      <w:r w:rsidR="00A323D2">
        <w:t>Queensland</w:t>
      </w:r>
      <w:r>
        <w:t xml:space="preserve"> </w:t>
      </w:r>
      <w:r w:rsidR="00327B1A">
        <w:t xml:space="preserve">Government </w:t>
      </w:r>
      <w:r w:rsidR="00E40C5A">
        <w:t xml:space="preserve">(2024) </w:t>
      </w:r>
      <w:r w:rsidR="00E40C5A" w:rsidRPr="2D1735F5">
        <w:rPr>
          <w:i/>
          <w:iCs/>
        </w:rPr>
        <w:t>Residual Risk Assessment Guideline – Interim</w:t>
      </w:r>
      <w:r w:rsidR="00BB7F62" w:rsidRPr="2D1735F5">
        <w:rPr>
          <w:rStyle w:val="FootnoteReference"/>
          <w:i/>
          <w:iCs/>
        </w:rPr>
        <w:footnoteReference w:id="14"/>
      </w:r>
      <w:r w:rsidR="00E40C5A">
        <w:t xml:space="preserve"> </w:t>
      </w:r>
      <w:r>
        <w:t>identifies t</w:t>
      </w:r>
      <w:r w:rsidR="0016007D">
        <w:t>wo</w:t>
      </w:r>
      <w:r>
        <w:t xml:space="preserve"> components to</w:t>
      </w:r>
      <w:r w:rsidR="00304354" w:rsidRPr="00304354">
        <w:t xml:space="preserve"> residual risks: </w:t>
      </w:r>
    </w:p>
    <w:p w14:paraId="762FBCB5" w14:textId="3ABD6EA8" w:rsidR="00304354" w:rsidRPr="008A4519" w:rsidRDefault="00904A18" w:rsidP="00904A18">
      <w:pPr>
        <w:pStyle w:val="ListParagraph"/>
        <w:numPr>
          <w:ilvl w:val="0"/>
          <w:numId w:val="6"/>
        </w:numPr>
        <w:rPr>
          <w:rFonts w:eastAsia="Aptos" w:cs="Arial"/>
          <w:szCs w:val="20"/>
        </w:rPr>
      </w:pPr>
      <w:r>
        <w:rPr>
          <w:rFonts w:eastAsia="Aptos" w:cs="Arial"/>
          <w:b/>
          <w:bCs/>
          <w:szCs w:val="20"/>
        </w:rPr>
        <w:t>r</w:t>
      </w:r>
      <w:r w:rsidR="7060F1B6" w:rsidRPr="008A4519">
        <w:rPr>
          <w:rFonts w:eastAsia="Aptos" w:cs="Arial"/>
          <w:b/>
          <w:bCs/>
          <w:szCs w:val="20"/>
        </w:rPr>
        <w:t>emedial action risk</w:t>
      </w:r>
      <w:r w:rsidR="7060F1B6" w:rsidRPr="008A4519">
        <w:rPr>
          <w:rFonts w:eastAsia="Aptos" w:cs="Arial"/>
          <w:szCs w:val="20"/>
        </w:rPr>
        <w:t xml:space="preserve"> – the possibility that, although land has been rehabilitated and appropriately managed, further remedial action may be required in the foreseeable future.</w:t>
      </w:r>
    </w:p>
    <w:p w14:paraId="07FD9843" w14:textId="35B42A7D" w:rsidR="00304354" w:rsidRPr="008A4519" w:rsidRDefault="00904A18" w:rsidP="00904A18">
      <w:pPr>
        <w:pStyle w:val="ListParagraph"/>
        <w:numPr>
          <w:ilvl w:val="0"/>
          <w:numId w:val="6"/>
        </w:numPr>
        <w:spacing w:after="0" w:line="276" w:lineRule="auto"/>
        <w:rPr>
          <w:rFonts w:eastAsia="Aptos" w:cs="Arial"/>
          <w:szCs w:val="20"/>
        </w:rPr>
      </w:pPr>
      <w:r>
        <w:rPr>
          <w:rFonts w:eastAsia="Aptos" w:cs="Arial"/>
          <w:b/>
          <w:bCs/>
          <w:szCs w:val="20"/>
        </w:rPr>
        <w:t>o</w:t>
      </w:r>
      <w:r w:rsidR="7060F1B6" w:rsidRPr="008A4519">
        <w:rPr>
          <w:rFonts w:eastAsia="Aptos" w:cs="Arial"/>
          <w:b/>
          <w:bCs/>
          <w:szCs w:val="20"/>
        </w:rPr>
        <w:t>ngoing management risk</w:t>
      </w:r>
      <w:r w:rsidR="7060F1B6" w:rsidRPr="008A4519">
        <w:rPr>
          <w:rFonts w:eastAsia="Aptos" w:cs="Arial"/>
          <w:szCs w:val="20"/>
        </w:rPr>
        <w:t xml:space="preserve"> – the possibility that continuing activities will be required, such as:</w:t>
      </w:r>
    </w:p>
    <w:p w14:paraId="1EB7A7E2" w14:textId="26A8D9AD" w:rsidR="00304354" w:rsidRPr="008A4519" w:rsidRDefault="7060F1B6" w:rsidP="008A4519">
      <w:pPr>
        <w:pStyle w:val="ListParagraph"/>
        <w:numPr>
          <w:ilvl w:val="0"/>
          <w:numId w:val="1"/>
        </w:numPr>
        <w:spacing w:after="0" w:line="276" w:lineRule="auto"/>
        <w:rPr>
          <w:rFonts w:eastAsia="Aptos" w:cs="Arial"/>
          <w:szCs w:val="20"/>
        </w:rPr>
      </w:pPr>
      <w:r w:rsidRPr="008A4519">
        <w:rPr>
          <w:rFonts w:eastAsia="Aptos" w:cs="Arial"/>
          <w:szCs w:val="20"/>
        </w:rPr>
        <w:t>monitoring the condition of the land or site features</w:t>
      </w:r>
    </w:p>
    <w:p w14:paraId="74DD8839" w14:textId="6B458C68" w:rsidR="00304354" w:rsidRPr="008A4519" w:rsidRDefault="7060F1B6" w:rsidP="008A4519">
      <w:pPr>
        <w:pStyle w:val="ListParagraph"/>
        <w:numPr>
          <w:ilvl w:val="0"/>
          <w:numId w:val="1"/>
        </w:numPr>
        <w:spacing w:after="0" w:line="276" w:lineRule="auto"/>
        <w:rPr>
          <w:rFonts w:eastAsia="Aptos" w:cs="Arial"/>
          <w:szCs w:val="20"/>
        </w:rPr>
      </w:pPr>
      <w:r w:rsidRPr="008A4519">
        <w:rPr>
          <w:rFonts w:eastAsia="Aptos" w:cs="Arial"/>
          <w:szCs w:val="20"/>
        </w:rPr>
        <w:t>taking action to prevent or minimise environmental harm caused by the land or its features.</w:t>
      </w:r>
    </w:p>
    <w:p w14:paraId="5AD348AB" w14:textId="3A982CE5" w:rsidR="00304354" w:rsidRPr="00304354" w:rsidRDefault="00304354" w:rsidP="00EA5F3F"/>
    <w:p w14:paraId="7EBF6DCD" w14:textId="0ED80A85" w:rsidR="00C61586" w:rsidRDefault="009B00C0" w:rsidP="00C61586">
      <w:r>
        <w:t>The Queensland Government (20</w:t>
      </w:r>
      <w:r w:rsidR="00A3036C">
        <w:t>18</w:t>
      </w:r>
      <w:r>
        <w:t xml:space="preserve">) </w:t>
      </w:r>
      <w:r w:rsidR="006C0133">
        <w:t xml:space="preserve">notes </w:t>
      </w:r>
      <w:r w:rsidR="00DF3135">
        <w:t>residual risk as inclusive of</w:t>
      </w:r>
      <w:r w:rsidR="009B1701" w:rsidRPr="009B1701">
        <w:t xml:space="preserve"> ongoing </w:t>
      </w:r>
      <w:r w:rsidR="726E44D4" w:rsidRPr="009B1701">
        <w:t xml:space="preserve">monitoring and management of </w:t>
      </w:r>
      <w:r w:rsidR="009B1701" w:rsidRPr="009B1701">
        <w:t xml:space="preserve">engineered structures to ensure they continue to </w:t>
      </w:r>
      <w:r w:rsidR="3638E221" w:rsidRPr="009B1701">
        <w:t xml:space="preserve">perform as </w:t>
      </w:r>
      <w:r w:rsidR="009B1701" w:rsidRPr="009B1701">
        <w:t>design</w:t>
      </w:r>
      <w:r w:rsidR="11077E57" w:rsidRPr="009B1701">
        <w:t>ed</w:t>
      </w:r>
      <w:r w:rsidR="009B1701" w:rsidRPr="009B1701">
        <w:t>.</w:t>
      </w:r>
      <w:r w:rsidR="009B1701">
        <w:t xml:space="preserve"> </w:t>
      </w:r>
      <w:r w:rsidR="00A05D91">
        <w:t>They</w:t>
      </w:r>
      <w:r w:rsidR="003C246C">
        <w:t xml:space="preserve"> </w:t>
      </w:r>
      <w:r w:rsidR="007000B3">
        <w:t xml:space="preserve">also </w:t>
      </w:r>
      <w:r w:rsidR="00D34B4B">
        <w:t>note that</w:t>
      </w:r>
      <w:r w:rsidR="003C246C">
        <w:t xml:space="preserve"> rehabilitation works and engineered structures may fail</w:t>
      </w:r>
      <w:r w:rsidR="007000B3">
        <w:t>,</w:t>
      </w:r>
      <w:r w:rsidR="00B028F8">
        <w:t xml:space="preserve"> </w:t>
      </w:r>
      <w:r w:rsidR="67B156F5">
        <w:t>necessitating corrective action.</w:t>
      </w:r>
      <w:r w:rsidR="00321AE9">
        <w:rPr>
          <w:rStyle w:val="FootnoteReference"/>
        </w:rPr>
        <w:footnoteReference w:id="15"/>
      </w:r>
      <w:r w:rsidR="002D493C">
        <w:t xml:space="preserve">. </w:t>
      </w:r>
    </w:p>
    <w:p w14:paraId="799E5071" w14:textId="0FA4FA91" w:rsidR="00243B0D" w:rsidRDefault="00130E41" w:rsidP="0052559F">
      <w:r>
        <w:t>They</w:t>
      </w:r>
      <w:r w:rsidR="00D8640D">
        <w:t xml:space="preserve"> further acknowledged that m</w:t>
      </w:r>
      <w:r w:rsidR="006C7C77">
        <w:t>ost land uses</w:t>
      </w:r>
      <w:r w:rsidR="00540735">
        <w:t xml:space="preserve"> (including land where mining disturbance acti</w:t>
      </w:r>
      <w:r w:rsidR="008F0C49">
        <w:t>vities have not occurred)</w:t>
      </w:r>
      <w:r w:rsidR="006C7C77">
        <w:t xml:space="preserve"> require some level of ongoing management</w:t>
      </w:r>
      <w:r w:rsidR="009672F8">
        <w:t xml:space="preserve">, </w:t>
      </w:r>
      <w:r>
        <w:t xml:space="preserve">defined as </w:t>
      </w:r>
      <w:r w:rsidR="00A753C7">
        <w:t>‘normal’ levels of management to maintain sustainable</w:t>
      </w:r>
      <w:r w:rsidR="00062FC7">
        <w:t xml:space="preserve"> </w:t>
      </w:r>
      <w:r w:rsidR="00610FF0">
        <w:t xml:space="preserve">land </w:t>
      </w:r>
      <w:r w:rsidR="00062FC7">
        <w:t>utilisation and stability</w:t>
      </w:r>
      <w:r w:rsidR="00B6588D">
        <w:t xml:space="preserve">. </w:t>
      </w:r>
      <w:r w:rsidR="00A75172">
        <w:t>This may include activities such as</w:t>
      </w:r>
      <w:r w:rsidR="008913CA">
        <w:t xml:space="preserve"> </w:t>
      </w:r>
      <w:r w:rsidR="00D55701">
        <w:t>pest and weed management</w:t>
      </w:r>
      <w:r w:rsidR="00876BE2">
        <w:t>, fire prevention</w:t>
      </w:r>
      <w:r w:rsidR="11C9778C">
        <w:t xml:space="preserve"> and</w:t>
      </w:r>
      <w:r w:rsidR="00D55701">
        <w:t xml:space="preserve"> </w:t>
      </w:r>
      <w:r w:rsidR="008B3E08">
        <w:t>maintenance of livestock fences</w:t>
      </w:r>
      <w:r w:rsidR="00A75172">
        <w:t xml:space="preserve">. </w:t>
      </w:r>
      <w:r w:rsidR="0022473E">
        <w:t xml:space="preserve">Many of these activities will </w:t>
      </w:r>
      <w:r w:rsidR="0C637A6E">
        <w:t>also apply</w:t>
      </w:r>
      <w:r w:rsidR="0022473E">
        <w:t xml:space="preserve"> to rehabilitated mine land</w:t>
      </w:r>
      <w:r w:rsidR="003C418C">
        <w:t xml:space="preserve"> </w:t>
      </w:r>
      <w:r w:rsidR="73AB849F">
        <w:t>or</w:t>
      </w:r>
      <w:r w:rsidR="003C418C">
        <w:t xml:space="preserve"> post-mining land uses</w:t>
      </w:r>
      <w:r w:rsidR="796C6597">
        <w:t>. However</w:t>
      </w:r>
      <w:r w:rsidR="00365E54">
        <w:t xml:space="preserve"> </w:t>
      </w:r>
      <w:r w:rsidR="00380669">
        <w:t xml:space="preserve">additional </w:t>
      </w:r>
      <w:r w:rsidR="00406E5D">
        <w:t xml:space="preserve">management </w:t>
      </w:r>
      <w:r w:rsidR="1928EC48">
        <w:t xml:space="preserve">is generally anticipated such as </w:t>
      </w:r>
      <w:r w:rsidR="00AE34B0">
        <w:t>geotechnical monitoring for stability</w:t>
      </w:r>
      <w:r w:rsidR="001808E3">
        <w:rPr>
          <w:rStyle w:val="FootnoteReference"/>
        </w:rPr>
        <w:footnoteReference w:id="16"/>
      </w:r>
      <w:r w:rsidR="00AE34B0">
        <w:t xml:space="preserve">. </w:t>
      </w:r>
    </w:p>
    <w:p w14:paraId="31696E70" w14:textId="40BC2D8F" w:rsidR="00656BEB" w:rsidRDefault="007C5D89" w:rsidP="0052559F">
      <w:r>
        <w:t>The declared mine licensees’ r</w:t>
      </w:r>
      <w:r w:rsidR="009C0BA9">
        <w:t>esidual risk</w:t>
      </w:r>
      <w:r w:rsidR="001808E3">
        <w:t xml:space="preserve"> assessment</w:t>
      </w:r>
      <w:r w:rsidR="00C61586">
        <w:t xml:space="preserve"> </w:t>
      </w:r>
      <w:r w:rsidR="009C0BA9">
        <w:t xml:space="preserve">and </w:t>
      </w:r>
      <w:r w:rsidR="006148B5">
        <w:t>post closure</w:t>
      </w:r>
      <w:r w:rsidR="009C0BA9">
        <w:t xml:space="preserve"> land management </w:t>
      </w:r>
      <w:r w:rsidR="00085088">
        <w:t>should</w:t>
      </w:r>
      <w:r w:rsidR="00671176">
        <w:t xml:space="preserve"> </w:t>
      </w:r>
      <w:r w:rsidR="4FDD97DE">
        <w:t xml:space="preserve">therefore </w:t>
      </w:r>
      <w:r w:rsidR="008D0389">
        <w:t>focus on the</w:t>
      </w:r>
      <w:r w:rsidR="3ECDA705">
        <w:t>se additional</w:t>
      </w:r>
      <w:r w:rsidR="008D375E">
        <w:t xml:space="preserve"> </w:t>
      </w:r>
      <w:r w:rsidR="008D0389">
        <w:t>requirements</w:t>
      </w:r>
      <w:r w:rsidR="0966E6A5">
        <w:t>; those that go</w:t>
      </w:r>
      <w:r w:rsidR="008D375E">
        <w:t xml:space="preserve"> </w:t>
      </w:r>
      <w:r w:rsidR="00EE7699">
        <w:t>beyond ‘normal’</w:t>
      </w:r>
      <w:r w:rsidR="00227C1A">
        <w:t xml:space="preserve"> </w:t>
      </w:r>
      <w:r w:rsidR="314FEA38">
        <w:t xml:space="preserve">levels of land </w:t>
      </w:r>
      <w:r w:rsidR="00227C1A">
        <w:t>management</w:t>
      </w:r>
      <w:r w:rsidR="5D944D9F">
        <w:t>,</w:t>
      </w:r>
      <w:r w:rsidR="00D14A2E">
        <w:t xml:space="preserve"> based on the proposed end land uses, </w:t>
      </w:r>
      <w:r w:rsidR="4AB9F664">
        <w:t xml:space="preserve">and </w:t>
      </w:r>
      <w:r w:rsidR="00D14A2E">
        <w:t>are not considered</w:t>
      </w:r>
      <w:r w:rsidR="008F1FF2">
        <w:t xml:space="preserve"> </w:t>
      </w:r>
      <w:r w:rsidR="00D14A2E">
        <w:t>residual</w:t>
      </w:r>
      <w:r w:rsidR="008F1FF2">
        <w:t xml:space="preserve"> risk</w:t>
      </w:r>
      <w:r w:rsidR="431442D5">
        <w:t>s</w:t>
      </w:r>
      <w:r w:rsidR="008F1FF2">
        <w:t xml:space="preserve"> or </w:t>
      </w:r>
      <w:r w:rsidR="00D14A2E">
        <w:t>liabilities</w:t>
      </w:r>
      <w:r w:rsidR="008F1FF2">
        <w:t xml:space="preserve"> associated with historic mining </w:t>
      </w:r>
      <w:r w:rsidR="2694A94B">
        <w:t>activities</w:t>
      </w:r>
      <w:r w:rsidR="008F1FF2">
        <w:t>.</w:t>
      </w:r>
    </w:p>
    <w:p w14:paraId="4D300A69" w14:textId="698C1975" w:rsidR="00C713D8" w:rsidRPr="00E06AA6" w:rsidRDefault="00C713D8" w:rsidP="0052559F">
      <w:r>
        <w:lastRenderedPageBreak/>
        <w:t xml:space="preserve">The </w:t>
      </w:r>
      <w:r w:rsidR="007C5D89">
        <w:t xml:space="preserve">declared mine </w:t>
      </w:r>
      <w:r w:rsidR="006148B5">
        <w:t>post closure</w:t>
      </w:r>
      <w:r w:rsidRPr="002A690F">
        <w:t xml:space="preserve"> plan should be supported by a</w:t>
      </w:r>
      <w:r>
        <w:t xml:space="preserve"> </w:t>
      </w:r>
      <w:r w:rsidR="006148B5">
        <w:t>post closure</w:t>
      </w:r>
      <w:r w:rsidRPr="002A690F">
        <w:t xml:space="preserve"> risk assessment particularly </w:t>
      </w:r>
      <w:r w:rsidR="5F4EE08F" w:rsidRPr="002A690F">
        <w:t xml:space="preserve">to address </w:t>
      </w:r>
      <w:r w:rsidR="00D522B9">
        <w:t xml:space="preserve">credible, </w:t>
      </w:r>
      <w:r w:rsidR="002207AA">
        <w:t xml:space="preserve">but </w:t>
      </w:r>
      <w:r w:rsidRPr="002A690F">
        <w:t>unexpected future failure events</w:t>
      </w:r>
      <w:r>
        <w:rPr>
          <w:rStyle w:val="FootnoteReference"/>
          <w:rFonts w:cs="Arial"/>
        </w:rPr>
        <w:footnoteReference w:id="17"/>
      </w:r>
      <w:r>
        <w:t xml:space="preserve">. </w:t>
      </w:r>
    </w:p>
    <w:p w14:paraId="76EDA597" w14:textId="62E238A9" w:rsidR="00657CF1" w:rsidRDefault="00657CF1" w:rsidP="00657CF1">
      <w:pPr>
        <w:pStyle w:val="Heading1"/>
      </w:pPr>
      <w:bookmarkStart w:id="18" w:name="_Toc215653647"/>
      <w:bookmarkStart w:id="19" w:name="_Toc220407006"/>
      <w:r>
        <w:t xml:space="preserve">Key </w:t>
      </w:r>
      <w:r w:rsidR="004165A5">
        <w:t>c</w:t>
      </w:r>
      <w:r>
        <w:t>onsiderations</w:t>
      </w:r>
      <w:r w:rsidR="00DB3510">
        <w:t xml:space="preserve"> </w:t>
      </w:r>
      <w:r w:rsidR="00FB7CF5">
        <w:t>in</w:t>
      </w:r>
      <w:r w:rsidR="00DB3510">
        <w:t xml:space="preserve"> </w:t>
      </w:r>
      <w:r w:rsidR="005E3A23">
        <w:t xml:space="preserve">declared mine </w:t>
      </w:r>
      <w:r w:rsidR="004165A5">
        <w:t>r</w:t>
      </w:r>
      <w:r w:rsidR="00DB3510">
        <w:t xml:space="preserve">esidual </w:t>
      </w:r>
      <w:r w:rsidR="004165A5">
        <w:t>r</w:t>
      </w:r>
      <w:r w:rsidR="00DB3510">
        <w:t xml:space="preserve">isk </w:t>
      </w:r>
      <w:r w:rsidR="004165A5">
        <w:t>a</w:t>
      </w:r>
      <w:r w:rsidR="00DB3510">
        <w:t>ssessment</w:t>
      </w:r>
      <w:r w:rsidR="004165A5">
        <w:t>s</w:t>
      </w:r>
      <w:bookmarkEnd w:id="18"/>
      <w:bookmarkEnd w:id="19"/>
    </w:p>
    <w:p w14:paraId="41169893" w14:textId="2CDCC405" w:rsidR="001A05AF" w:rsidRPr="00774971" w:rsidRDefault="008C41F0" w:rsidP="001A05AF">
      <w:r w:rsidRPr="008C41F0">
        <w:t>Key considerations</w:t>
      </w:r>
      <w:r w:rsidR="00AF5E06">
        <w:t xml:space="preserve"> and expected steps </w:t>
      </w:r>
      <w:r w:rsidRPr="008C41F0">
        <w:t xml:space="preserve">for </w:t>
      </w:r>
      <w:r w:rsidR="00DE02FD">
        <w:t xml:space="preserve">mine licensees’ </w:t>
      </w:r>
      <w:r w:rsidRPr="008C41F0">
        <w:t xml:space="preserve">conducting risk assessments and developing risk management plans to inform </w:t>
      </w:r>
      <w:r>
        <w:t>each of the DMRPs</w:t>
      </w:r>
      <w:r w:rsidR="000E6F61">
        <w:rPr>
          <w:rStyle w:val="FootnoteReference"/>
        </w:rPr>
        <w:footnoteReference w:id="18"/>
      </w:r>
      <w:r w:rsidR="25E4B380" w:rsidRPr="12D6026D">
        <w:rPr>
          <w:rStyle w:val="FootnoteReference"/>
        </w:rPr>
        <w:t xml:space="preserve"> </w:t>
      </w:r>
      <w:r w:rsidR="25E4B380" w:rsidRPr="00803381">
        <w:t xml:space="preserve">include </w:t>
      </w:r>
      <w:r w:rsidR="6C7CF6F5">
        <w:t>t</w:t>
      </w:r>
      <w:r w:rsidR="00975452">
        <w:t>he</w:t>
      </w:r>
      <w:r w:rsidR="5AC3A4BC">
        <w:t xml:space="preserve"> </w:t>
      </w:r>
      <w:r w:rsidR="001A05AF">
        <w:t xml:space="preserve">following </w:t>
      </w:r>
      <w:r w:rsidR="00E4253C">
        <w:t xml:space="preserve">aspects </w:t>
      </w:r>
      <w:r w:rsidR="759BDA77">
        <w:t xml:space="preserve">which </w:t>
      </w:r>
      <w:r w:rsidR="00975452">
        <w:t xml:space="preserve">are considered </w:t>
      </w:r>
      <w:r w:rsidR="00E4253C">
        <w:t xml:space="preserve">essential for </w:t>
      </w:r>
      <w:r w:rsidR="001A05AF">
        <w:t>defin</w:t>
      </w:r>
      <w:r w:rsidR="23971C9A">
        <w:t>ing</w:t>
      </w:r>
      <w:r w:rsidR="001A05AF">
        <w:t xml:space="preserve"> and </w:t>
      </w:r>
      <w:r w:rsidR="76A89E9D">
        <w:t xml:space="preserve">conducting </w:t>
      </w:r>
      <w:r w:rsidR="001A05AF">
        <w:t xml:space="preserve">a </w:t>
      </w:r>
      <w:r w:rsidR="006148B5">
        <w:t>post closure</w:t>
      </w:r>
      <w:r w:rsidR="001A05AF">
        <w:t xml:space="preserve"> risk assessment</w:t>
      </w:r>
      <w:r w:rsidR="00F74234">
        <w:t xml:space="preserve">, </w:t>
      </w:r>
      <w:r w:rsidR="00F33175">
        <w:t xml:space="preserve">and </w:t>
      </w:r>
      <w:r w:rsidR="004F1DCA">
        <w:t xml:space="preserve">are discussed in further detail </w:t>
      </w:r>
      <w:r w:rsidR="00750C02">
        <w:t>within the following sub sections</w:t>
      </w:r>
      <w:r w:rsidR="001A05AF">
        <w:t>:</w:t>
      </w:r>
    </w:p>
    <w:p w14:paraId="0BA8EE19" w14:textId="18C3E4DF" w:rsidR="008258C5" w:rsidRPr="005209DC" w:rsidRDefault="00904A18" w:rsidP="00904A18">
      <w:pPr>
        <w:pStyle w:val="ListParagraph"/>
        <w:numPr>
          <w:ilvl w:val="0"/>
          <w:numId w:val="10"/>
        </w:numPr>
      </w:pPr>
      <w:r>
        <w:t>r</w:t>
      </w:r>
      <w:r w:rsidR="008258C5" w:rsidRPr="005209DC">
        <w:t xml:space="preserve">isk </w:t>
      </w:r>
      <w:r w:rsidR="004E69CE" w:rsidRPr="005209DC">
        <w:t>assessment methodology</w:t>
      </w:r>
    </w:p>
    <w:p w14:paraId="3002AC43" w14:textId="1C763774" w:rsidR="00D82547" w:rsidRPr="005209DC" w:rsidRDefault="00904A18" w:rsidP="00904A18">
      <w:pPr>
        <w:pStyle w:val="ListParagraph"/>
        <w:numPr>
          <w:ilvl w:val="0"/>
          <w:numId w:val="10"/>
        </w:numPr>
      </w:pPr>
      <w:r>
        <w:t>p</w:t>
      </w:r>
      <w:r w:rsidR="00EE7917" w:rsidRPr="005209DC">
        <w:t>roviding a</w:t>
      </w:r>
      <w:r w:rsidR="000C2B08" w:rsidRPr="005209DC">
        <w:t xml:space="preserve"> </w:t>
      </w:r>
      <w:r w:rsidR="002D35BB" w:rsidRPr="005209DC">
        <w:t xml:space="preserve">clear starting point for the </w:t>
      </w:r>
      <w:r w:rsidR="006148B5">
        <w:t>post closure</w:t>
      </w:r>
      <w:r w:rsidR="002D35BB" w:rsidRPr="005209DC">
        <w:t xml:space="preserve"> risk assessment</w:t>
      </w:r>
      <w:r w:rsidR="00814176">
        <w:t xml:space="preserve">: the final landform at </w:t>
      </w:r>
      <w:r w:rsidR="00100AF0">
        <w:t>licence surrender</w:t>
      </w:r>
    </w:p>
    <w:p w14:paraId="4A2659BD" w14:textId="29DF6158" w:rsidR="0039568F" w:rsidRDefault="00904A18" w:rsidP="00904A18">
      <w:pPr>
        <w:pStyle w:val="ListParagraph"/>
        <w:numPr>
          <w:ilvl w:val="0"/>
          <w:numId w:val="10"/>
        </w:numPr>
      </w:pPr>
      <w:r>
        <w:t>k</w:t>
      </w:r>
      <w:r w:rsidR="00707128" w:rsidRPr="005209DC">
        <w:t xml:space="preserve">ey </w:t>
      </w:r>
      <w:r w:rsidR="00977EF5">
        <w:t>inputs</w:t>
      </w:r>
      <w:r w:rsidR="00977EF5" w:rsidRPr="005209DC">
        <w:t xml:space="preserve"> </w:t>
      </w:r>
      <w:r w:rsidR="00707128" w:rsidRPr="005209DC">
        <w:t xml:space="preserve">for risk identification, including </w:t>
      </w:r>
      <w:r w:rsidR="00252E8E" w:rsidRPr="005209DC">
        <w:t>the</w:t>
      </w:r>
      <w:r w:rsidR="00707128" w:rsidRPr="005209DC">
        <w:t xml:space="preserve"> </w:t>
      </w:r>
    </w:p>
    <w:p w14:paraId="17CDFA1A" w14:textId="37C0E7C7" w:rsidR="0039568F" w:rsidRDefault="00707128" w:rsidP="00904A18">
      <w:pPr>
        <w:pStyle w:val="ListParagraph"/>
        <w:numPr>
          <w:ilvl w:val="1"/>
          <w:numId w:val="10"/>
        </w:numPr>
      </w:pPr>
      <w:r w:rsidRPr="007754D0">
        <w:t>final landform design</w:t>
      </w:r>
      <w:r w:rsidR="008B3D74">
        <w:t>, and credible failure modes,</w:t>
      </w:r>
      <w:r w:rsidRPr="007754D0">
        <w:t xml:space="preserve"> </w:t>
      </w:r>
    </w:p>
    <w:p w14:paraId="6FA132B5" w14:textId="77777777" w:rsidR="0039568F" w:rsidRDefault="00707128" w:rsidP="00904A18">
      <w:pPr>
        <w:pStyle w:val="ListParagraph"/>
        <w:numPr>
          <w:ilvl w:val="1"/>
          <w:numId w:val="10"/>
        </w:numPr>
      </w:pPr>
      <w:r w:rsidRPr="007754D0">
        <w:t>proposed end land use and sensitive receptors</w:t>
      </w:r>
      <w:r w:rsidR="00436FC0" w:rsidRPr="007754D0">
        <w:t>,</w:t>
      </w:r>
      <w:r w:rsidR="0039568F">
        <w:t xml:space="preserve"> and </w:t>
      </w:r>
    </w:p>
    <w:p w14:paraId="48A7AD54" w14:textId="46E305E1" w:rsidR="00436FC0" w:rsidRPr="007754D0" w:rsidRDefault="0039568F" w:rsidP="00904A18">
      <w:pPr>
        <w:pStyle w:val="ListParagraph"/>
        <w:numPr>
          <w:ilvl w:val="1"/>
          <w:numId w:val="10"/>
        </w:numPr>
      </w:pPr>
      <w:r>
        <w:t xml:space="preserve">the changing environment over time </w:t>
      </w:r>
      <w:r w:rsidR="00643AC6">
        <w:t>(including climate change)</w:t>
      </w:r>
    </w:p>
    <w:p w14:paraId="7767D540" w14:textId="3E83B1CB" w:rsidR="000A3547" w:rsidRPr="007754D0" w:rsidRDefault="00904A18" w:rsidP="00904A18">
      <w:pPr>
        <w:pStyle w:val="ListParagraph"/>
        <w:numPr>
          <w:ilvl w:val="0"/>
          <w:numId w:val="10"/>
        </w:numPr>
      </w:pPr>
      <w:r>
        <w:t>r</w:t>
      </w:r>
      <w:r w:rsidR="00707128" w:rsidRPr="007754D0">
        <w:t xml:space="preserve">isk analysis </w:t>
      </w:r>
      <w:r w:rsidR="00D8122F">
        <w:t>(</w:t>
      </w:r>
      <w:r w:rsidR="007F2DDF" w:rsidRPr="007F2DDF">
        <w:t>potential consequence and likelihood</w:t>
      </w:r>
      <w:r w:rsidR="00D8122F">
        <w:t>)</w:t>
      </w:r>
    </w:p>
    <w:p w14:paraId="484F65DC" w14:textId="18F59288" w:rsidR="000575ED" w:rsidRPr="007754D0" w:rsidRDefault="00904A18" w:rsidP="00904A18">
      <w:pPr>
        <w:pStyle w:val="ListParagraph"/>
        <w:numPr>
          <w:ilvl w:val="0"/>
          <w:numId w:val="10"/>
        </w:numPr>
      </w:pPr>
      <w:r>
        <w:t>d</w:t>
      </w:r>
      <w:r w:rsidR="000575ED" w:rsidRPr="007754D0">
        <w:t>evelopment of controls, mitigations and management</w:t>
      </w:r>
      <w:r w:rsidR="00D82547" w:rsidRPr="007754D0">
        <w:t xml:space="preserve"> </w:t>
      </w:r>
    </w:p>
    <w:p w14:paraId="535FA53D" w14:textId="426E9B8E" w:rsidR="001A05AF" w:rsidRPr="007754D0" w:rsidRDefault="00904A18" w:rsidP="00904A18">
      <w:pPr>
        <w:pStyle w:val="ListParagraph"/>
        <w:numPr>
          <w:ilvl w:val="0"/>
          <w:numId w:val="10"/>
        </w:numPr>
      </w:pPr>
      <w:r>
        <w:t>u</w:t>
      </w:r>
      <w:r w:rsidR="00F953AD" w:rsidRPr="007754D0">
        <w:t>ncertainty and assumptions</w:t>
      </w:r>
      <w:r w:rsidR="000B09F5">
        <w:t xml:space="preserve"> </w:t>
      </w:r>
    </w:p>
    <w:p w14:paraId="30C03904" w14:textId="77777777" w:rsidR="00AE2013" w:rsidRDefault="00AE2013" w:rsidP="0047416B">
      <w:pPr>
        <w:pStyle w:val="Heading2"/>
      </w:pPr>
      <w:bookmarkStart w:id="20" w:name="_Toc215653648"/>
      <w:bookmarkStart w:id="21" w:name="_Ref216274813"/>
      <w:bookmarkStart w:id="22" w:name="_Toc220407007"/>
      <w:bookmarkStart w:id="23" w:name="_Ref214350841"/>
      <w:bookmarkStart w:id="24" w:name="_Ref208914845"/>
      <w:r>
        <w:t>Defining the risk appetite</w:t>
      </w:r>
      <w:bookmarkEnd w:id="20"/>
      <w:bookmarkEnd w:id="21"/>
      <w:bookmarkEnd w:id="22"/>
    </w:p>
    <w:p w14:paraId="595821EC" w14:textId="1AAEB60F" w:rsidR="00AE2013" w:rsidRDefault="00AE2013" w:rsidP="00AE2013">
      <w:r w:rsidRPr="007754D0">
        <w:t xml:space="preserve">As discussed in Section </w:t>
      </w:r>
      <w:r>
        <w:rPr>
          <w:highlight w:val="yellow"/>
        </w:rPr>
        <w:fldChar w:fldCharType="begin"/>
      </w:r>
      <w:r>
        <w:instrText xml:space="preserve"> REF _Ref208933943 \r \h </w:instrText>
      </w:r>
      <w:r>
        <w:rPr>
          <w:highlight w:val="yellow"/>
        </w:rPr>
      </w:r>
      <w:r>
        <w:rPr>
          <w:highlight w:val="yellow"/>
        </w:rPr>
        <w:fldChar w:fldCharType="separate"/>
      </w:r>
      <w:r w:rsidR="001C0481">
        <w:t>1</w:t>
      </w:r>
      <w:r>
        <w:rPr>
          <w:highlight w:val="yellow"/>
        </w:rPr>
        <w:fldChar w:fldCharType="end"/>
      </w:r>
      <w:r w:rsidRPr="007754D0">
        <w:t xml:space="preserve">, </w:t>
      </w:r>
      <w:r>
        <w:t>mine licensees</w:t>
      </w:r>
      <w:r w:rsidR="005C5173">
        <w:t xml:space="preserve"> and </w:t>
      </w:r>
      <w:r>
        <w:t>government must agree that the level of residual risk is acceptable</w:t>
      </w:r>
      <w:r w:rsidR="005C5173">
        <w:t xml:space="preserve"> for a </w:t>
      </w:r>
      <w:r w:rsidR="004A3862">
        <w:t xml:space="preserve">licence </w:t>
      </w:r>
      <w:r w:rsidR="006D0C07">
        <w:t>to be surrendered</w:t>
      </w:r>
      <w:r>
        <w:t xml:space="preserve"> -</w:t>
      </w:r>
      <w:r w:rsidRPr="009E0D2C">
        <w:t xml:space="preserve"> reduced or eliminated</w:t>
      </w:r>
      <w:r>
        <w:t xml:space="preserve"> </w:t>
      </w:r>
      <w:r w:rsidRPr="009E0D2C">
        <w:t>as far as reasonably practicable,</w:t>
      </w:r>
      <w:r>
        <w:t xml:space="preserve"> with low requirements for maintenance and with funding provision - to enable the surrender of the mining licence. </w:t>
      </w:r>
    </w:p>
    <w:p w14:paraId="251A41EA" w14:textId="36B0A4B7" w:rsidR="00AE2013" w:rsidRDefault="00AE2013" w:rsidP="00AE2013">
      <w:r>
        <w:t xml:space="preserve">Accordingly, to allow for a transparent risk assessment, mine licensees should clearly define and state their risk appetite and the basis for determining what they consider an ‘acceptable’ risk, i.e. Explaining how the decision on “as far as reasonably practicable” has been reached may assist in demonstrating this position. This level of acceptable risk should also be linked to the relevant closure criteria and the associated </w:t>
      </w:r>
      <w:r w:rsidR="006148B5">
        <w:t>post closure</w:t>
      </w:r>
      <w:r>
        <w:t xml:space="preserve"> monitoring and maintenance plans. It is expected that, once these parameters are defined, engagement with government and the MLRA will finalise the acceptable level of risk for </w:t>
      </w:r>
      <w:r w:rsidR="006148B5">
        <w:t>post closure</w:t>
      </w:r>
      <w:r>
        <w:t xml:space="preserve">.  Note: As outlined in the DEECA (2025) </w:t>
      </w:r>
      <w:r w:rsidRPr="12D6026D">
        <w:rPr>
          <w:i/>
          <w:iCs/>
        </w:rPr>
        <w:t>Ministerial Guidelines for preparation of Declared Mine Rehabilitation Plans,</w:t>
      </w:r>
      <w:r w:rsidRPr="12D6026D">
        <w:rPr>
          <w:rStyle w:val="normaltextrun"/>
        </w:rPr>
        <w:t xml:space="preserve"> the demonstration of whether risks have been eliminated or reduced as far as reasonably practicable should be consistent with the harm reduction principle outlined in the </w:t>
      </w:r>
      <w:r w:rsidRPr="12D6026D">
        <w:rPr>
          <w:rStyle w:val="normaltextrun"/>
          <w:i/>
          <w:iCs/>
        </w:rPr>
        <w:t>Environment Protection Act 2017.</w:t>
      </w:r>
    </w:p>
    <w:p w14:paraId="59C51900" w14:textId="052C37FB" w:rsidR="006442C2" w:rsidRDefault="006442C2" w:rsidP="00F00CA7">
      <w:pPr>
        <w:pStyle w:val="Heading2"/>
      </w:pPr>
      <w:bookmarkStart w:id="25" w:name="_Toc215653649"/>
      <w:bookmarkStart w:id="26" w:name="_Ref216275158"/>
      <w:bookmarkStart w:id="27" w:name="_Toc220407008"/>
      <w:r>
        <w:t>Risk Methodology</w:t>
      </w:r>
      <w:bookmarkEnd w:id="23"/>
      <w:bookmarkEnd w:id="25"/>
      <w:bookmarkEnd w:id="26"/>
      <w:bookmarkEnd w:id="27"/>
    </w:p>
    <w:p w14:paraId="2309C6F5" w14:textId="74DC23B5" w:rsidR="00A9210C" w:rsidRDefault="002153BC" w:rsidP="00A9210C">
      <w:r>
        <w:t>T</w:t>
      </w:r>
      <w:r w:rsidR="00A9210C">
        <w:t>he residual risk</w:t>
      </w:r>
      <w:r w:rsidR="00A9210C" w:rsidRPr="00774971">
        <w:t xml:space="preserve"> assessment process</w:t>
      </w:r>
      <w:r>
        <w:rPr>
          <w:rStyle w:val="FootnoteReference"/>
        </w:rPr>
        <w:footnoteReference w:id="19"/>
      </w:r>
      <w:r w:rsidR="00A9210C" w:rsidRPr="00774971">
        <w:t xml:space="preserve"> </w:t>
      </w:r>
      <w:r w:rsidR="20631F27" w:rsidRPr="00774971">
        <w:t xml:space="preserve">should </w:t>
      </w:r>
      <w:r w:rsidR="00A9210C" w:rsidRPr="00774971">
        <w:t>align with the broadly applied and accepted Australian and New Zealand risk management principles (AS/NZ 31000:20</w:t>
      </w:r>
      <w:r w:rsidR="002E0A8A">
        <w:t>18</w:t>
      </w:r>
      <w:r w:rsidR="00A9210C" w:rsidRPr="00774971">
        <w:t>); risk identification, analysis, evaluation and treatmen</w:t>
      </w:r>
      <w:r w:rsidR="00A9210C">
        <w:t xml:space="preserve">t (see </w:t>
      </w:r>
      <w:r w:rsidR="00561E0A">
        <w:fldChar w:fldCharType="begin"/>
      </w:r>
      <w:r w:rsidR="00561E0A">
        <w:instrText xml:space="preserve"> REF _Ref209519471 \h </w:instrText>
      </w:r>
      <w:r w:rsidR="00561E0A">
        <w:fldChar w:fldCharType="separate"/>
      </w:r>
      <w:r w:rsidR="001C0481">
        <w:t xml:space="preserve">Figure </w:t>
      </w:r>
      <w:r w:rsidR="001C0481">
        <w:rPr>
          <w:noProof/>
        </w:rPr>
        <w:t>2</w:t>
      </w:r>
      <w:r w:rsidR="00561E0A">
        <w:fldChar w:fldCharType="end"/>
      </w:r>
      <w:r w:rsidR="00A9210C">
        <w:t>)</w:t>
      </w:r>
      <w:r w:rsidR="00A9210C">
        <w:rPr>
          <w:rStyle w:val="FootnoteReference"/>
        </w:rPr>
        <w:footnoteReference w:id="20"/>
      </w:r>
      <w:r w:rsidR="00A9210C">
        <w:t xml:space="preserve">. </w:t>
      </w:r>
    </w:p>
    <w:p w14:paraId="6F9710FB" w14:textId="020B4CB7" w:rsidR="00BE0A66" w:rsidRDefault="00BE0A66" w:rsidP="00A9210C">
      <w:pPr>
        <w:keepNext/>
        <w:rPr>
          <w:noProof/>
        </w:rPr>
      </w:pPr>
    </w:p>
    <w:p w14:paraId="49227986" w14:textId="543A9DD2" w:rsidR="00A9210C" w:rsidRDefault="00A4167E" w:rsidP="12D6026D">
      <w:pPr>
        <w:keepNext/>
        <w:rPr>
          <w:noProof/>
        </w:rPr>
      </w:pPr>
      <w:r>
        <w:rPr>
          <w:noProof/>
        </w:rPr>
        <w:drawing>
          <wp:inline distT="0" distB="0" distL="0" distR="0" wp14:anchorId="1D215F35" wp14:editId="59074BE5">
            <wp:extent cx="5731510" cy="4129405"/>
            <wp:effectExtent l="0" t="0" r="2540" b="4445"/>
            <wp:docPr id="1437241793" name="Picture 1" descr="Flow chart of risk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41793" name="Picture 1" descr="Flow chart of risk management process"/>
                    <pic:cNvPicPr/>
                  </pic:nvPicPr>
                  <pic:blipFill>
                    <a:blip r:embed="rId21"/>
                    <a:stretch>
                      <a:fillRect/>
                    </a:stretch>
                  </pic:blipFill>
                  <pic:spPr>
                    <a:xfrm>
                      <a:off x="0" y="0"/>
                      <a:ext cx="5731510" cy="4129405"/>
                    </a:xfrm>
                    <a:prstGeom prst="rect">
                      <a:avLst/>
                    </a:prstGeom>
                  </pic:spPr>
                </pic:pic>
              </a:graphicData>
            </a:graphic>
          </wp:inline>
        </w:drawing>
      </w:r>
      <w:r w:rsidRPr="12D6026D">
        <w:rPr>
          <w:noProof/>
        </w:rPr>
        <w:t xml:space="preserve"> </w:t>
      </w:r>
      <w:r w:rsidR="00BE0A66" w:rsidRPr="12D6026D">
        <w:rPr>
          <w:noProof/>
        </w:rPr>
        <w:t xml:space="preserve"> </w:t>
      </w:r>
    </w:p>
    <w:p w14:paraId="4A9CDF53" w14:textId="2A39564C" w:rsidR="00A9210C" w:rsidRDefault="00A9210C" w:rsidP="00A9210C">
      <w:pPr>
        <w:pStyle w:val="Caption"/>
      </w:pPr>
      <w:bookmarkStart w:id="28" w:name="_Ref209519471"/>
      <w:r>
        <w:t xml:space="preserve">Figure </w:t>
      </w:r>
      <w:r w:rsidR="00561E0A">
        <w:fldChar w:fldCharType="begin"/>
      </w:r>
      <w:r w:rsidR="00561E0A">
        <w:instrText xml:space="preserve"> SEQ Figure \* ARABIC </w:instrText>
      </w:r>
      <w:r w:rsidR="00561E0A">
        <w:fldChar w:fldCharType="separate"/>
      </w:r>
      <w:r w:rsidR="001C0481">
        <w:rPr>
          <w:noProof/>
        </w:rPr>
        <w:t>2</w:t>
      </w:r>
      <w:r w:rsidR="00561E0A">
        <w:rPr>
          <w:noProof/>
        </w:rPr>
        <w:fldChar w:fldCharType="end"/>
      </w:r>
      <w:bookmarkEnd w:id="28"/>
      <w:r>
        <w:tab/>
        <w:t>Risk management process based on AS/NZS ISO 31000:20</w:t>
      </w:r>
      <w:r w:rsidR="00F64308">
        <w:t>18</w:t>
      </w:r>
      <w:r>
        <w:rPr>
          <w:rStyle w:val="FootnoteReference"/>
        </w:rPr>
        <w:footnoteReference w:id="21"/>
      </w:r>
    </w:p>
    <w:p w14:paraId="00AB2E6E" w14:textId="4E75448D" w:rsidR="00A9210C" w:rsidRDefault="7A890D6F" w:rsidP="00A9210C">
      <w:r>
        <w:t>T</w:t>
      </w:r>
      <w:r w:rsidR="00A9210C">
        <w:t xml:space="preserve">he DEECA (2025) </w:t>
      </w:r>
      <w:r w:rsidR="00A9210C" w:rsidRPr="2D1735F5">
        <w:rPr>
          <w:i/>
          <w:iCs/>
        </w:rPr>
        <w:t>Ministerial Guidelines for preparation of Declared Mine Rehabilitation Plans</w:t>
      </w:r>
      <w:r w:rsidR="00A9210C" w:rsidRPr="2D1735F5">
        <w:rPr>
          <w:rStyle w:val="FootnoteReference"/>
          <w:i/>
          <w:iCs/>
        </w:rPr>
        <w:footnoteReference w:id="22"/>
      </w:r>
      <w:r w:rsidR="00A9210C">
        <w:t xml:space="preserve">, </w:t>
      </w:r>
      <w:r w:rsidR="753E214B">
        <w:t xml:space="preserve">emphasises the importance of adopting </w:t>
      </w:r>
      <w:r w:rsidR="00A9210C">
        <w:t xml:space="preserve">a structured approach to risk assessments. Most mining risk assessments </w:t>
      </w:r>
      <w:r w:rsidR="6EA4326B">
        <w:t xml:space="preserve">begin </w:t>
      </w:r>
      <w:r w:rsidR="00A9210C">
        <w:t xml:space="preserve">with a qualitative approach. This is a useful screening tool for early-stage closure assessment, with more rigorous assessments (such as quantitative risk assessments) undertaken on </w:t>
      </w:r>
      <w:r w:rsidR="007A726B">
        <w:t xml:space="preserve">aspects </w:t>
      </w:r>
      <w:r w:rsidR="00A9210C">
        <w:t>where elevated risks may be identified</w:t>
      </w:r>
      <w:r w:rsidR="00A9210C">
        <w:rPr>
          <w:rStyle w:val="FootnoteReference"/>
        </w:rPr>
        <w:footnoteReference w:id="23"/>
      </w:r>
      <w:r w:rsidR="00A9210C">
        <w:t xml:space="preserve">. </w:t>
      </w:r>
      <w:r w:rsidR="006622B2">
        <w:t>A</w:t>
      </w:r>
      <w:r w:rsidR="00A9210C">
        <w:t xml:space="preserve"> tiered approach is </w:t>
      </w:r>
      <w:r w:rsidR="4376F5FB">
        <w:t xml:space="preserve">considered </w:t>
      </w:r>
      <w:r w:rsidR="00F147FA">
        <w:t xml:space="preserve">robust </w:t>
      </w:r>
      <w:r w:rsidR="00A9210C">
        <w:t xml:space="preserve">for </w:t>
      </w:r>
      <w:r w:rsidR="006148B5">
        <w:t>post closure</w:t>
      </w:r>
      <w:r w:rsidR="00A9210C">
        <w:t xml:space="preserve"> risk assessment</w:t>
      </w:r>
      <w:r w:rsidR="00F147FA">
        <w:t>s</w:t>
      </w:r>
      <w:r w:rsidR="00A9210C">
        <w:t xml:space="preserve">, with the risk framework clearly articulating the process and circumstances where more detailed risk assessments are undertaken. More detailed risk assessments </w:t>
      </w:r>
      <w:r w:rsidR="002F15FF">
        <w:t xml:space="preserve">should </w:t>
      </w:r>
      <w:r w:rsidR="00A9210C">
        <w:t>be considered for the following</w:t>
      </w:r>
      <w:r w:rsidR="38D876FA">
        <w:t>:</w:t>
      </w:r>
      <w:r w:rsidR="00B75894">
        <w:t xml:space="preserve"> </w:t>
      </w:r>
      <w:r w:rsidR="00B75894">
        <w:fldChar w:fldCharType="begin"/>
      </w:r>
      <w:r w:rsidR="00B75894">
        <w:instrText xml:space="preserve"> REF _Ref209517315 \r \h </w:instrText>
      </w:r>
      <w:r w:rsidR="00B75894">
        <w:fldChar w:fldCharType="separate"/>
      </w:r>
      <w:r w:rsidR="001C0481">
        <w:t>6</w:t>
      </w:r>
      <w:r w:rsidR="00B75894">
        <w:fldChar w:fldCharType="end"/>
      </w:r>
      <w:r w:rsidR="00B75894">
        <w:t xml:space="preserve"> </w:t>
      </w:r>
    </w:p>
    <w:p w14:paraId="4220D062" w14:textId="2FFE2411" w:rsidR="00A9210C" w:rsidRDefault="00904A18" w:rsidP="00904A18">
      <w:pPr>
        <w:pStyle w:val="ListParagraph"/>
        <w:numPr>
          <w:ilvl w:val="0"/>
          <w:numId w:val="14"/>
        </w:numPr>
      </w:pPr>
      <w:r>
        <w:t>e</w:t>
      </w:r>
      <w:r w:rsidR="00A9210C">
        <w:t xml:space="preserve">levated risk </w:t>
      </w:r>
      <w:r w:rsidR="000D2FF0">
        <w:t xml:space="preserve">aspects </w:t>
      </w:r>
      <w:r w:rsidR="00A9210C">
        <w:t xml:space="preserve">(as identified by an initial screening of risk) </w:t>
      </w:r>
    </w:p>
    <w:p w14:paraId="7FE70FB3" w14:textId="2B82A7E7" w:rsidR="00A9210C" w:rsidRDefault="0037753C" w:rsidP="00904A18">
      <w:pPr>
        <w:pStyle w:val="ListParagraph"/>
        <w:numPr>
          <w:ilvl w:val="0"/>
          <w:numId w:val="14"/>
        </w:numPr>
      </w:pPr>
      <w:r>
        <w:t xml:space="preserve">specific </w:t>
      </w:r>
      <w:r w:rsidR="00A9210C">
        <w:t>controls for the purpose of maintaining the safety, stability and sustainability of the land (e.g., flood control structures)</w:t>
      </w:r>
    </w:p>
    <w:p w14:paraId="37BC6462" w14:textId="36257979" w:rsidR="009427FB" w:rsidRDefault="577C42BD" w:rsidP="00904A18">
      <w:pPr>
        <w:pStyle w:val="ListParagraph"/>
        <w:numPr>
          <w:ilvl w:val="0"/>
          <w:numId w:val="14"/>
        </w:numPr>
      </w:pPr>
      <w:r>
        <w:t xml:space="preserve">potentially </w:t>
      </w:r>
      <w:r w:rsidR="70322EAC">
        <w:t xml:space="preserve">individual landforms within the </w:t>
      </w:r>
      <w:r w:rsidR="5C4D3BA7">
        <w:t xml:space="preserve">licence </w:t>
      </w:r>
      <w:r w:rsidR="70322EAC">
        <w:t xml:space="preserve">area (e.g. flood levees, overburden dumps) </w:t>
      </w:r>
      <w:r w:rsidR="04CBFE5C">
        <w:t xml:space="preserve">and </w:t>
      </w:r>
    </w:p>
    <w:p w14:paraId="53A3070A" w14:textId="766994AF" w:rsidR="00A9210C" w:rsidRDefault="00904A18" w:rsidP="00904A18">
      <w:pPr>
        <w:pStyle w:val="ListParagraph"/>
        <w:numPr>
          <w:ilvl w:val="0"/>
          <w:numId w:val="14"/>
        </w:numPr>
      </w:pPr>
      <w:r>
        <w:t>e</w:t>
      </w:r>
      <w:r w:rsidR="00A9210C">
        <w:t>ngineer</w:t>
      </w:r>
      <w:r w:rsidR="009427FB">
        <w:t>ed</w:t>
      </w:r>
      <w:r w:rsidR="00A9210C">
        <w:t xml:space="preserve"> structures which will remain on the land </w:t>
      </w:r>
      <w:r w:rsidR="006148B5">
        <w:t>post closure</w:t>
      </w:r>
    </w:p>
    <w:p w14:paraId="0A274E46" w14:textId="69CD778B" w:rsidR="006442C2" w:rsidRPr="006442C2" w:rsidRDefault="499989EB" w:rsidP="5303301D">
      <w:r>
        <w:t xml:space="preserve">Some risk tools which can be used to support these more detailed assessments are described in Section </w:t>
      </w:r>
      <w:r w:rsidR="00A9210C">
        <w:fldChar w:fldCharType="begin"/>
      </w:r>
      <w:r w:rsidR="00A9210C">
        <w:instrText xml:space="preserve"> REF _Ref209517315 \r \h </w:instrText>
      </w:r>
      <w:r w:rsidR="00A9210C">
        <w:fldChar w:fldCharType="separate"/>
      </w:r>
      <w:r w:rsidR="001C0481">
        <w:t>6</w:t>
      </w:r>
      <w:r w:rsidR="00A9210C">
        <w:fldChar w:fldCharType="end"/>
      </w:r>
      <w:r>
        <w:t xml:space="preserve">. </w:t>
      </w:r>
    </w:p>
    <w:p w14:paraId="01DC0CC7" w14:textId="58FEA402" w:rsidR="006442C2" w:rsidRPr="006442C2" w:rsidRDefault="00A9210C" w:rsidP="5303301D">
      <w:r>
        <w:lastRenderedPageBreak/>
        <w:t xml:space="preserve">The risk framework should provide clear linkages between the </w:t>
      </w:r>
      <w:r w:rsidR="006148B5">
        <w:t>post closure</w:t>
      </w:r>
      <w:r>
        <w:t xml:space="preserve"> risk assessments</w:t>
      </w:r>
      <w:r w:rsidR="000005B7">
        <w:t>, control measures</w:t>
      </w:r>
      <w:r>
        <w:t xml:space="preserve"> and</w:t>
      </w:r>
      <w:r w:rsidR="000005B7">
        <w:t xml:space="preserve"> their </w:t>
      </w:r>
      <w:r>
        <w:t xml:space="preserve">integration into risk management plans (e.g., Ground Control Management Plan, Fire Risk Management Plan, Environmental Management Plan) </w:t>
      </w:r>
      <w:r w:rsidR="000005B7">
        <w:t>and associated monitoring plans.</w:t>
      </w:r>
    </w:p>
    <w:p w14:paraId="7F93D9BD" w14:textId="77777777" w:rsidR="00B66BB2" w:rsidRDefault="00B66BB2" w:rsidP="00732495">
      <w:pPr>
        <w:pStyle w:val="Heading3"/>
      </w:pPr>
      <w:bookmarkStart w:id="29" w:name="_Toc215653650"/>
      <w:bookmarkStart w:id="30" w:name="_Toc220407009"/>
      <w:r>
        <w:t>Risk matrices</w:t>
      </w:r>
      <w:bookmarkEnd w:id="29"/>
      <w:bookmarkEnd w:id="30"/>
    </w:p>
    <w:p w14:paraId="4194F6EC" w14:textId="77777777" w:rsidR="00981B6B" w:rsidRDefault="00B66BB2" w:rsidP="00B66BB2">
      <w:r>
        <w:t xml:space="preserve">A risk matrix is a tool </w:t>
      </w:r>
      <w:r w:rsidR="4BF505CD">
        <w:t xml:space="preserve">used </w:t>
      </w:r>
      <w:r>
        <w:t>to rank and analys</w:t>
      </w:r>
      <w:r w:rsidR="69887320">
        <w:t>e</w:t>
      </w:r>
      <w:r w:rsidR="00D95820">
        <w:t xml:space="preserve"> </w:t>
      </w:r>
      <w:r>
        <w:t xml:space="preserve">risk based on the likelihood and potential consequence of an event occurring. </w:t>
      </w:r>
    </w:p>
    <w:p w14:paraId="37ADF2A7" w14:textId="57CB597E" w:rsidR="00981B6B" w:rsidRDefault="00F974A6" w:rsidP="00B66BB2">
      <w:r>
        <w:t>The ICMM</w:t>
      </w:r>
      <w:r w:rsidR="00CE47A6">
        <w:t xml:space="preserve"> guidelines</w:t>
      </w:r>
      <w:r w:rsidR="00BC11F9">
        <w:rPr>
          <w:rStyle w:val="FootnoteReference"/>
        </w:rPr>
        <w:footnoteReference w:id="24"/>
      </w:r>
      <w:r w:rsidR="00CE47A6">
        <w:t xml:space="preserve"> provide information on closure risk matrices, however when </w:t>
      </w:r>
      <w:r w:rsidR="00E80BF2">
        <w:t xml:space="preserve">using this </w:t>
      </w:r>
      <w:r w:rsidR="003E3299">
        <w:t>guidance,</w:t>
      </w:r>
      <w:r w:rsidR="009264F2">
        <w:t xml:space="preserve"> </w:t>
      </w:r>
      <w:r w:rsidR="00F3421C">
        <w:t xml:space="preserve">it is important to be aware that </w:t>
      </w:r>
      <w:r w:rsidR="009264F2">
        <w:t xml:space="preserve">the post closure period discussed, is different </w:t>
      </w:r>
      <w:r w:rsidR="0087365A">
        <w:t xml:space="preserve">to the </w:t>
      </w:r>
      <w:r w:rsidR="00AD40DE">
        <w:t xml:space="preserve">legislated </w:t>
      </w:r>
      <w:r w:rsidR="0087365A">
        <w:t xml:space="preserve">post closure period </w:t>
      </w:r>
      <w:r w:rsidR="00AD40DE">
        <w:t>in Victoria</w:t>
      </w:r>
      <w:r w:rsidR="009264F2">
        <w:t xml:space="preserve">, </w:t>
      </w:r>
    </w:p>
    <w:p w14:paraId="66152E74" w14:textId="7E09EEB5" w:rsidR="00B66BB2" w:rsidRDefault="00EC102B" w:rsidP="00B66BB2">
      <w:r>
        <w:t xml:space="preserve">The </w:t>
      </w:r>
      <w:r w:rsidR="003E3299">
        <w:t>Victoria</w:t>
      </w:r>
      <w:r>
        <w:t xml:space="preserve">n </w:t>
      </w:r>
      <w:r w:rsidR="005E20D5">
        <w:t>regulatory framework</w:t>
      </w:r>
      <w:r w:rsidR="00F67AE4">
        <w:t xml:space="preserve"> provides an operational risk matrix tool</w:t>
      </w:r>
      <w:r w:rsidR="00981B6B">
        <w:t>,</w:t>
      </w:r>
      <w:r w:rsidR="00F67AE4">
        <w:t xml:space="preserve"> </w:t>
      </w:r>
      <w:r w:rsidR="00B66BB2">
        <w:t xml:space="preserve">DJPR (2020) </w:t>
      </w:r>
      <w:r w:rsidR="00B66BB2" w:rsidRPr="4083F948">
        <w:rPr>
          <w:i/>
          <w:iCs/>
        </w:rPr>
        <w:t>Preparation of Work Plans and Work Plan Variations</w:t>
      </w:r>
      <w:r w:rsidR="00B66BB2" w:rsidRPr="4083F948">
        <w:rPr>
          <w:rStyle w:val="FootnoteReference"/>
          <w:i/>
          <w:iCs/>
        </w:rPr>
        <w:footnoteReference w:id="25"/>
      </w:r>
      <w:r w:rsidR="00B66BB2">
        <w:t>,</w:t>
      </w:r>
      <w:r w:rsidR="00785A57">
        <w:t xml:space="preserve">which would not be appropriate for the post closure </w:t>
      </w:r>
      <w:r w:rsidR="00463234">
        <w:t xml:space="preserve">period. Companies frequently use their own internal approved risk matrices, however for the same reason the </w:t>
      </w:r>
      <w:r w:rsidR="000609A2">
        <w:t>DJPR (20</w:t>
      </w:r>
      <w:r w:rsidR="6EB4E189">
        <w:t>0</w:t>
      </w:r>
      <w:r w:rsidR="000609A2">
        <w:t xml:space="preserve">2) risk matrix is not appropriate, usually the company </w:t>
      </w:r>
      <w:r w:rsidR="000165BD">
        <w:t xml:space="preserve">risk matrix will </w:t>
      </w:r>
      <w:r w:rsidR="008B5846">
        <w:t>need amending</w:t>
      </w:r>
      <w:r w:rsidR="000165BD">
        <w:t>,</w:t>
      </w:r>
      <w:r w:rsidR="00785A57">
        <w:t xml:space="preserve"> due to the following considerations</w:t>
      </w:r>
      <w:r w:rsidR="000165BD">
        <w:t>:</w:t>
      </w:r>
    </w:p>
    <w:p w14:paraId="1320B373" w14:textId="177E88D7" w:rsidR="005024B9" w:rsidRDefault="00B24E83" w:rsidP="004E74D9">
      <w:pPr>
        <w:pStyle w:val="ListParagraph"/>
        <w:numPr>
          <w:ilvl w:val="0"/>
          <w:numId w:val="26"/>
        </w:numPr>
      </w:pPr>
      <w:r>
        <w:t xml:space="preserve">the </w:t>
      </w:r>
      <w:r w:rsidR="006148B5">
        <w:t xml:space="preserve">post </w:t>
      </w:r>
      <w:r>
        <w:t>closure period</w:t>
      </w:r>
      <w:r w:rsidR="00120991">
        <w:t xml:space="preserve"> will extend, in theory, into perpetuity, </w:t>
      </w:r>
      <w:r w:rsidR="00B45829">
        <w:t>a much longer time frame than originally considered as part of operations</w:t>
      </w:r>
      <w:r w:rsidR="007A7BD2">
        <w:t xml:space="preserve">, </w:t>
      </w:r>
      <w:r w:rsidR="009D0FE1">
        <w:t>therefore the</w:t>
      </w:r>
      <w:r w:rsidR="007A7BD2">
        <w:t xml:space="preserve"> </w:t>
      </w:r>
      <w:r>
        <w:t xml:space="preserve">likelihood </w:t>
      </w:r>
      <w:r w:rsidR="45CA8E98">
        <w:t xml:space="preserve">section </w:t>
      </w:r>
      <w:r w:rsidR="005024B9">
        <w:t>of the risk matrix need</w:t>
      </w:r>
      <w:r w:rsidR="004F16EA">
        <w:t>s</w:t>
      </w:r>
      <w:r w:rsidR="005024B9">
        <w:t xml:space="preserve"> to be amended to reflect these longer time frames</w:t>
      </w:r>
      <w:r w:rsidR="00C93631">
        <w:t>. The likelihood descriptors should also take into consideration limitations of technical models noting that the predictive accuracy of models reduce over longer time horizons, up to a certain point in time, where predictions become too uncertain and are no longer meaningful</w:t>
      </w:r>
      <w:r w:rsidR="00952C30">
        <w:t>.</w:t>
      </w:r>
    </w:p>
    <w:p w14:paraId="2364A6A7" w14:textId="558A2B4B" w:rsidR="00B66BB2" w:rsidRDefault="2FD25EB7" w:rsidP="009D4188">
      <w:pPr>
        <w:pStyle w:val="ListParagraph"/>
        <w:numPr>
          <w:ilvl w:val="0"/>
          <w:numId w:val="17"/>
        </w:numPr>
      </w:pPr>
      <w:r>
        <w:t xml:space="preserve">consequence categories and descriptors may need to be updated to address </w:t>
      </w:r>
      <w:r w:rsidR="00CC4938">
        <w:t xml:space="preserve">not only </w:t>
      </w:r>
      <w:r w:rsidR="00AE27C8">
        <w:t xml:space="preserve">the </w:t>
      </w:r>
      <w:r w:rsidR="00CC4938">
        <w:t xml:space="preserve">longer time frames, but also the change </w:t>
      </w:r>
      <w:r w:rsidR="001D2F98">
        <w:t>from a</w:t>
      </w:r>
      <w:r w:rsidR="001A4414">
        <w:t xml:space="preserve"> company owned, </w:t>
      </w:r>
      <w:r w:rsidR="001D2F98">
        <w:t>secure</w:t>
      </w:r>
      <w:r w:rsidR="1031D81A">
        <w:t>d</w:t>
      </w:r>
      <w:r w:rsidR="001D2F98">
        <w:t xml:space="preserve"> site to </w:t>
      </w:r>
      <w:r w:rsidR="001A4414">
        <w:t xml:space="preserve">a government/ </w:t>
      </w:r>
      <w:r w:rsidR="00BE1621">
        <w:t>individual / or community owned</w:t>
      </w:r>
      <w:r w:rsidR="001D2F98">
        <w:t xml:space="preserve">, </w:t>
      </w:r>
      <w:r w:rsidR="00AE27C8">
        <w:t xml:space="preserve">potentially unsecure site. </w:t>
      </w:r>
      <w:r w:rsidR="004F16EA">
        <w:t>For example,</w:t>
      </w:r>
      <w:r>
        <w:t xml:space="preserve"> some categories may not be required as they are not relevant to </w:t>
      </w:r>
      <w:r w:rsidR="006148B5">
        <w:t>post closure</w:t>
      </w:r>
      <w:r>
        <w:t xml:space="preserve"> period e.g.</w:t>
      </w:r>
      <w:r w:rsidR="21BE194A">
        <w:t xml:space="preserve"> </w:t>
      </w:r>
      <w:r>
        <w:t>FTE (full time equivalent) time lost</w:t>
      </w:r>
      <w:r w:rsidR="62D4F826">
        <w:t>.</w:t>
      </w:r>
    </w:p>
    <w:p w14:paraId="2BB22816" w14:textId="70892E60" w:rsidR="005B2046" w:rsidRDefault="005B2046" w:rsidP="00F00CA7">
      <w:pPr>
        <w:pStyle w:val="Heading2"/>
      </w:pPr>
      <w:bookmarkStart w:id="31" w:name="_Toc215653651"/>
      <w:bookmarkStart w:id="32" w:name="_Ref216274979"/>
      <w:bookmarkStart w:id="33" w:name="_Ref216275289"/>
      <w:bookmarkStart w:id="34" w:name="_Toc220407010"/>
      <w:r>
        <w:t xml:space="preserve">Understanding the </w:t>
      </w:r>
      <w:r w:rsidR="00252181">
        <w:t>s</w:t>
      </w:r>
      <w:r>
        <w:t xml:space="preserve">tarting </w:t>
      </w:r>
      <w:r w:rsidR="00252181">
        <w:t>p</w:t>
      </w:r>
      <w:r>
        <w:t>oint</w:t>
      </w:r>
      <w:bookmarkEnd w:id="24"/>
      <w:bookmarkEnd w:id="31"/>
      <w:bookmarkEnd w:id="32"/>
      <w:bookmarkEnd w:id="33"/>
      <w:bookmarkEnd w:id="34"/>
    </w:p>
    <w:p w14:paraId="1592A7A8" w14:textId="5A01D011" w:rsidR="00026EAE" w:rsidRDefault="00C30CBC" w:rsidP="006D2615">
      <w:r>
        <w:t>Providing</w:t>
      </w:r>
      <w:r w:rsidR="006D2615">
        <w:t xml:space="preserve"> a clear starting point</w:t>
      </w:r>
      <w:r w:rsidR="000E7F21">
        <w:t>, (what landform is being assessed at what point in time)</w:t>
      </w:r>
      <w:r w:rsidR="006D2615">
        <w:t xml:space="preserve"> for the </w:t>
      </w:r>
      <w:r w:rsidR="006148B5">
        <w:t>post closure</w:t>
      </w:r>
      <w:r w:rsidR="006D2615">
        <w:t xml:space="preserve"> risk assessment</w:t>
      </w:r>
      <w:r>
        <w:t xml:space="preserve"> is </w:t>
      </w:r>
      <w:r w:rsidR="00FA6034">
        <w:t xml:space="preserve">a key step </w:t>
      </w:r>
      <w:r w:rsidR="007875C3">
        <w:t xml:space="preserve">to ensuring that a </w:t>
      </w:r>
      <w:r w:rsidR="009C5EF1">
        <w:t>robust and structured risk assessment is undertaken</w:t>
      </w:r>
      <w:r w:rsidR="007F007B">
        <w:t>.</w:t>
      </w:r>
      <w:r w:rsidR="009C5EF1">
        <w:t xml:space="preserve"> </w:t>
      </w:r>
      <w:r w:rsidR="00112D66">
        <w:t>The</w:t>
      </w:r>
      <w:r w:rsidR="006D2615">
        <w:t xml:space="preserve"> final </w:t>
      </w:r>
      <w:r w:rsidR="65D6751C">
        <w:t>(</w:t>
      </w:r>
      <w:r w:rsidR="006D2615">
        <w:t>rehabilitated</w:t>
      </w:r>
      <w:r w:rsidR="4D7AE5C1">
        <w:t>)</w:t>
      </w:r>
      <w:r w:rsidR="006D2615">
        <w:t xml:space="preserve"> landform</w:t>
      </w:r>
      <w:r w:rsidR="460ACDE2">
        <w:t>, covering</w:t>
      </w:r>
      <w:r w:rsidR="00FD038C">
        <w:t xml:space="preserve"> </w:t>
      </w:r>
      <w:r w:rsidR="00457AC3">
        <w:t>all</w:t>
      </w:r>
      <w:r w:rsidR="003E0F1E">
        <w:t xml:space="preserve"> land within the </w:t>
      </w:r>
      <w:r w:rsidR="00157F59">
        <w:t xml:space="preserve">licence </w:t>
      </w:r>
      <w:r w:rsidR="003E0F1E">
        <w:t>area</w:t>
      </w:r>
      <w:r w:rsidR="2DD9E137">
        <w:t xml:space="preserve">, </w:t>
      </w:r>
      <w:r w:rsidR="006D0916">
        <w:t xml:space="preserve">represents </w:t>
      </w:r>
      <w:r w:rsidR="00D241A9">
        <w:t xml:space="preserve">the starting point for the </w:t>
      </w:r>
      <w:r w:rsidR="006148B5">
        <w:t>post closure</w:t>
      </w:r>
      <w:r w:rsidR="00BA4CE3">
        <w:t xml:space="preserve"> risk assessment</w:t>
      </w:r>
      <w:r w:rsidR="003F4DBE">
        <w:t xml:space="preserve">, </w:t>
      </w:r>
      <w:r w:rsidR="004337A4">
        <w:t>and</w:t>
      </w:r>
      <w:r w:rsidR="003F4DBE">
        <w:t xml:space="preserve"> it </w:t>
      </w:r>
      <w:r w:rsidR="00485DDA">
        <w:t>includes</w:t>
      </w:r>
      <w:r w:rsidR="004337A4">
        <w:t xml:space="preserve"> </w:t>
      </w:r>
      <w:r w:rsidR="00752282">
        <w:t xml:space="preserve">the physical and environmental conditions </w:t>
      </w:r>
      <w:r w:rsidR="559715B4">
        <w:t xml:space="preserve">within </w:t>
      </w:r>
      <w:r w:rsidR="00752282">
        <w:t>which potential risks are identified</w:t>
      </w:r>
      <w:r w:rsidR="005A59CD">
        <w:t xml:space="preserve">. </w:t>
      </w:r>
      <w:r w:rsidR="008A3053">
        <w:t xml:space="preserve">The final </w:t>
      </w:r>
      <w:r w:rsidR="00034A12">
        <w:t>landform</w:t>
      </w:r>
      <w:r w:rsidR="00BA4CE3">
        <w:t xml:space="preserve"> </w:t>
      </w:r>
      <w:r w:rsidR="006D2615">
        <w:t>should be described for the whole site</w:t>
      </w:r>
      <w:r w:rsidR="00FD6C6E">
        <w:t xml:space="preserve">. </w:t>
      </w:r>
      <w:r w:rsidR="002D3224">
        <w:t>T</w:t>
      </w:r>
      <w:r w:rsidR="00DF7CEA">
        <w:t>he</w:t>
      </w:r>
      <w:r w:rsidR="009B762C">
        <w:t xml:space="preserve"> </w:t>
      </w:r>
      <w:r w:rsidR="02372F0C">
        <w:t>conceptual site model (</w:t>
      </w:r>
      <w:r w:rsidR="009B762C">
        <w:t>CSM</w:t>
      </w:r>
      <w:r w:rsidR="63864804">
        <w:t>)</w:t>
      </w:r>
      <w:r w:rsidR="009B762C">
        <w:t xml:space="preserve"> approach </w:t>
      </w:r>
      <w:r w:rsidR="00587F53">
        <w:t>can assist with</w:t>
      </w:r>
      <w:r w:rsidR="009F0908">
        <w:t xml:space="preserve"> this</w:t>
      </w:r>
      <w:r w:rsidR="009B762C">
        <w:t xml:space="preserve"> </w:t>
      </w:r>
      <w:r w:rsidR="00FA46FB">
        <w:t xml:space="preserve">(as described </w:t>
      </w:r>
      <w:r w:rsidR="00AE2283">
        <w:t xml:space="preserve">in Section </w:t>
      </w:r>
      <w:r>
        <w:fldChar w:fldCharType="begin"/>
      </w:r>
      <w:r>
        <w:instrText xml:space="preserve"> REF _Ref209439258 \r \h </w:instrText>
      </w:r>
      <w:r>
        <w:fldChar w:fldCharType="separate"/>
      </w:r>
      <w:r w:rsidR="001C0481">
        <w:t>5.3.1</w:t>
      </w:r>
      <w:r>
        <w:fldChar w:fldCharType="end"/>
      </w:r>
      <w:r w:rsidR="00FA46FB">
        <w:t>)</w:t>
      </w:r>
      <w:r w:rsidR="00E75702">
        <w:t xml:space="preserve">, to visualise </w:t>
      </w:r>
      <w:r w:rsidR="00532D30">
        <w:t xml:space="preserve">the </w:t>
      </w:r>
      <w:r w:rsidR="006148B5">
        <w:t>post closure</w:t>
      </w:r>
      <w:r w:rsidR="000E7F21">
        <w:t xml:space="preserve"> </w:t>
      </w:r>
      <w:r w:rsidR="00532D30">
        <w:t>landform and the surrounding environment</w:t>
      </w:r>
      <w:r w:rsidR="006D2615">
        <w:t>.</w:t>
      </w:r>
      <w:r w:rsidR="00026EAE">
        <w:t xml:space="preserve"> </w:t>
      </w:r>
    </w:p>
    <w:p w14:paraId="0A666453" w14:textId="009AF9C7" w:rsidR="0062017A" w:rsidRDefault="00394593" w:rsidP="006D2615">
      <w:r>
        <w:t xml:space="preserve">The starting point </w:t>
      </w:r>
      <w:r w:rsidR="00784561">
        <w:t>(</w:t>
      </w:r>
      <w:r w:rsidR="006148B5">
        <w:t>post closure</w:t>
      </w:r>
      <w:r w:rsidR="00784561">
        <w:t xml:space="preserve"> landform at time of </w:t>
      </w:r>
      <w:r w:rsidR="00157F59">
        <w:t xml:space="preserve">licence </w:t>
      </w:r>
      <w:r w:rsidR="00784561">
        <w:t xml:space="preserve">surrender) </w:t>
      </w:r>
      <w:r w:rsidR="002E6840">
        <w:t xml:space="preserve">should </w:t>
      </w:r>
      <w:r w:rsidR="004B50CE">
        <w:t xml:space="preserve">then </w:t>
      </w:r>
      <w:r w:rsidR="006D2615" w:rsidRPr="001C4884">
        <w:t xml:space="preserve">be </w:t>
      </w:r>
      <w:r w:rsidR="004B7148">
        <w:t xml:space="preserve">further </w:t>
      </w:r>
      <w:r w:rsidR="006D2615" w:rsidRPr="001C4884">
        <w:t>described</w:t>
      </w:r>
      <w:r w:rsidR="006D2615" w:rsidRPr="00774971">
        <w:t xml:space="preserve"> </w:t>
      </w:r>
      <w:r w:rsidR="00506290">
        <w:t>by</w:t>
      </w:r>
      <w:r w:rsidR="006D2615" w:rsidRPr="00774971">
        <w:t xml:space="preserve"> </w:t>
      </w:r>
      <w:r w:rsidR="006D2615" w:rsidRPr="001C4884">
        <w:t>d</w:t>
      </w:r>
      <w:r w:rsidR="006D2615" w:rsidRPr="00774971">
        <w:t xml:space="preserve">omain </w:t>
      </w:r>
      <w:r w:rsidR="006D2615" w:rsidRPr="001C4884">
        <w:t xml:space="preserve">as per </w:t>
      </w:r>
      <w:r w:rsidR="00AC0782">
        <w:t>guidance</w:t>
      </w:r>
      <w:r w:rsidR="00951277">
        <w:t xml:space="preserve"> </w:t>
      </w:r>
      <w:r w:rsidR="00951277">
        <w:rPr>
          <w:rStyle w:val="FootnoteReference"/>
        </w:rPr>
        <w:footnoteReference w:id="26"/>
      </w:r>
      <w:r w:rsidR="00951277">
        <w:t xml:space="preserve"> </w:t>
      </w:r>
      <w:r w:rsidR="006D2615" w:rsidRPr="2D1735F5">
        <w:rPr>
          <w:rStyle w:val="FootnoteReference"/>
          <w:i/>
          <w:iCs/>
        </w:rPr>
        <w:footnoteReference w:id="27"/>
      </w:r>
      <w:r w:rsidR="0062017A" w:rsidRPr="001C4884">
        <w:t xml:space="preserve"> </w:t>
      </w:r>
      <w:r w:rsidR="002E5954">
        <w:t xml:space="preserve">and </w:t>
      </w:r>
      <w:r w:rsidR="7FA8A5D0">
        <w:t xml:space="preserve">for more complex domains, </w:t>
      </w:r>
      <w:r w:rsidR="00BD131B">
        <w:t xml:space="preserve">a </w:t>
      </w:r>
      <w:r w:rsidR="00AE2283">
        <w:t>domain</w:t>
      </w:r>
      <w:r w:rsidR="00561CD6">
        <w:t>-</w:t>
      </w:r>
      <w:r w:rsidR="00AE2283">
        <w:t>based CSM</w:t>
      </w:r>
      <w:r w:rsidR="1DA877E1">
        <w:t xml:space="preserve"> may be appropriate</w:t>
      </w:r>
      <w:r w:rsidR="00473AD3">
        <w:t>.</w:t>
      </w:r>
      <w:r w:rsidR="09DC9DA3">
        <w:t xml:space="preserve"> This description</w:t>
      </w:r>
      <w:r w:rsidR="00B34A1A">
        <w:t xml:space="preserve"> </w:t>
      </w:r>
      <w:r w:rsidR="00473AD3">
        <w:t>should include:</w:t>
      </w:r>
    </w:p>
    <w:p w14:paraId="23E7E16F" w14:textId="2F6443BC" w:rsidR="0026367C" w:rsidRDefault="006D2615" w:rsidP="00904A18">
      <w:pPr>
        <w:pStyle w:val="ListParagraph"/>
        <w:numPr>
          <w:ilvl w:val="0"/>
          <w:numId w:val="13"/>
        </w:numPr>
      </w:pPr>
      <w:r w:rsidRPr="00774971">
        <w:t xml:space="preserve">an inventory </w:t>
      </w:r>
      <w:r w:rsidRPr="001C4884">
        <w:t>(</w:t>
      </w:r>
      <w:r w:rsidRPr="00774971">
        <w:t xml:space="preserve">by </w:t>
      </w:r>
      <w:r w:rsidRPr="001C4884">
        <w:t>d</w:t>
      </w:r>
      <w:r w:rsidRPr="00774971">
        <w:t>omain</w:t>
      </w:r>
      <w:r w:rsidRPr="001C4884">
        <w:t>)</w:t>
      </w:r>
      <w:r w:rsidRPr="00774971">
        <w:t xml:space="preserve"> of remaining rehabilitated post-surrender features and facilities </w:t>
      </w:r>
      <w:r w:rsidR="004B48F7">
        <w:t xml:space="preserve">within the </w:t>
      </w:r>
      <w:r w:rsidR="00157F59">
        <w:t xml:space="preserve">licence </w:t>
      </w:r>
      <w:r w:rsidR="004B48F7">
        <w:t>area</w:t>
      </w:r>
      <w:r w:rsidRPr="00774971">
        <w:t xml:space="preserve">, </w:t>
      </w:r>
    </w:p>
    <w:p w14:paraId="712C6459" w14:textId="2B8E60B7" w:rsidR="0062017A" w:rsidRDefault="00774D7D" w:rsidP="00904A18">
      <w:pPr>
        <w:pStyle w:val="ListParagraph"/>
        <w:numPr>
          <w:ilvl w:val="0"/>
          <w:numId w:val="13"/>
        </w:numPr>
      </w:pPr>
      <w:r>
        <w:t xml:space="preserve">an inventory of </w:t>
      </w:r>
      <w:r w:rsidR="003D1C66">
        <w:t>controls</w:t>
      </w:r>
      <w:r>
        <w:t xml:space="preserve"> (by domain)</w:t>
      </w:r>
      <w:r w:rsidR="003D1C66">
        <w:t xml:space="preserve"> </w:t>
      </w:r>
      <w:r w:rsidR="05FFC685">
        <w:t xml:space="preserve">that </w:t>
      </w:r>
      <w:r w:rsidR="000176AE">
        <w:t xml:space="preserve">are </w:t>
      </w:r>
      <w:r w:rsidR="777940EF">
        <w:t xml:space="preserve">inherently </w:t>
      </w:r>
      <w:r w:rsidR="003D1C66">
        <w:t xml:space="preserve">integrated into the final landform design, </w:t>
      </w:r>
      <w:r w:rsidR="00964515">
        <w:t xml:space="preserve"> </w:t>
      </w:r>
    </w:p>
    <w:p w14:paraId="422B7CC3" w14:textId="77777777" w:rsidR="00A62BEE" w:rsidRDefault="0062017A" w:rsidP="00904A18">
      <w:pPr>
        <w:pStyle w:val="ListParagraph"/>
        <w:numPr>
          <w:ilvl w:val="0"/>
          <w:numId w:val="13"/>
        </w:numPr>
      </w:pPr>
      <w:r>
        <w:t xml:space="preserve">the </w:t>
      </w:r>
      <w:r w:rsidR="006D2615" w:rsidRPr="00774971">
        <w:t>corresponding</w:t>
      </w:r>
      <w:r w:rsidR="006658AB">
        <w:t xml:space="preserve"> proposed</w:t>
      </w:r>
      <w:r w:rsidR="006D2615" w:rsidRPr="00774971">
        <w:t xml:space="preserve"> post</w:t>
      </w:r>
      <w:r w:rsidR="006658AB">
        <w:t>-</w:t>
      </w:r>
      <w:r w:rsidR="006D2615" w:rsidRPr="00774971">
        <w:t>mining land uses</w:t>
      </w:r>
      <w:r w:rsidR="00B16183">
        <w:t xml:space="preserve"> (by domain)</w:t>
      </w:r>
      <w:r w:rsidR="00A62BEE">
        <w:t>,</w:t>
      </w:r>
    </w:p>
    <w:p w14:paraId="79EF76EE" w14:textId="41EC7BC7" w:rsidR="006D2615" w:rsidRPr="00774971" w:rsidRDefault="00A62BEE" w:rsidP="00904A18">
      <w:pPr>
        <w:pStyle w:val="ListParagraph"/>
        <w:numPr>
          <w:ilvl w:val="0"/>
          <w:numId w:val="13"/>
        </w:numPr>
      </w:pPr>
      <w:r>
        <w:lastRenderedPageBreak/>
        <w:t>off licence area land uses and potential sensitive receptors</w:t>
      </w:r>
      <w:r w:rsidR="002439CF">
        <w:t xml:space="preserve"> that maybe impacted by </w:t>
      </w:r>
      <w:r w:rsidR="00DB0065">
        <w:t>the rehabilitation</w:t>
      </w:r>
      <w:r w:rsidR="006D2615" w:rsidRPr="00774971">
        <w:t xml:space="preserve">. </w:t>
      </w:r>
    </w:p>
    <w:p w14:paraId="7F785537" w14:textId="6C31A7D7" w:rsidR="0030060A" w:rsidRPr="00AF3818" w:rsidRDefault="001402DB" w:rsidP="00F00CA7">
      <w:pPr>
        <w:rPr>
          <w:highlight w:val="yellow"/>
        </w:rPr>
      </w:pPr>
      <w:r>
        <w:t>The final</w:t>
      </w:r>
      <w:r w:rsidR="000267FE">
        <w:t xml:space="preserve"> </w:t>
      </w:r>
      <w:r w:rsidR="006148B5">
        <w:t>post closure</w:t>
      </w:r>
      <w:r>
        <w:t xml:space="preserve"> landform</w:t>
      </w:r>
      <w:r w:rsidR="007758B9">
        <w:t xml:space="preserve"> with the correspond</w:t>
      </w:r>
      <w:r w:rsidR="3A0AB834">
        <w:t>ing</w:t>
      </w:r>
      <w:r w:rsidR="007758B9">
        <w:t xml:space="preserve"> post-mining land uses</w:t>
      </w:r>
      <w:r>
        <w:t xml:space="preserve"> </w:t>
      </w:r>
      <w:r w:rsidR="0092593C">
        <w:t xml:space="preserve">provides </w:t>
      </w:r>
      <w:r w:rsidR="006C3561">
        <w:t xml:space="preserve">the starting / reference point of the </w:t>
      </w:r>
      <w:r w:rsidR="006148B5">
        <w:t>post closure</w:t>
      </w:r>
      <w:r w:rsidR="00C80EFC">
        <w:t xml:space="preserve"> </w:t>
      </w:r>
      <w:r w:rsidR="006C3561">
        <w:t>risk assessment</w:t>
      </w:r>
      <w:r w:rsidR="00353A6D">
        <w:t xml:space="preserve">. </w:t>
      </w:r>
      <w:r w:rsidR="00AF7D1A">
        <w:t xml:space="preserve">By </w:t>
      </w:r>
      <w:r w:rsidR="2B24636C">
        <w:t>adopting this</w:t>
      </w:r>
      <w:r w:rsidR="00700272">
        <w:t xml:space="preserve"> </w:t>
      </w:r>
      <w:r w:rsidR="00DD4CB3">
        <w:t>starting</w:t>
      </w:r>
      <w:r w:rsidR="00255F42">
        <w:t xml:space="preserve"> </w:t>
      </w:r>
      <w:r w:rsidR="00AF7D1A">
        <w:t>point</w:t>
      </w:r>
      <w:r w:rsidR="102EE7E8">
        <w:t>,</w:t>
      </w:r>
      <w:r w:rsidR="00AF7D1A">
        <w:t xml:space="preserve"> </w:t>
      </w:r>
      <w:r w:rsidR="004220FC">
        <w:t xml:space="preserve">no </w:t>
      </w:r>
      <w:r w:rsidR="2B2A5AC1">
        <w:t xml:space="preserve">additional management </w:t>
      </w:r>
      <w:r w:rsidR="00F44721">
        <w:t>controls</w:t>
      </w:r>
      <w:r w:rsidR="00021D6B">
        <w:t xml:space="preserve"> </w:t>
      </w:r>
      <w:r w:rsidR="7E6785FF">
        <w:t>are</w:t>
      </w:r>
      <w:r w:rsidR="0052318B">
        <w:t xml:space="preserve"> assumed to be </w:t>
      </w:r>
      <w:r w:rsidR="7E6785FF">
        <w:t xml:space="preserve">in place </w:t>
      </w:r>
      <w:r w:rsidR="007E218A">
        <w:t xml:space="preserve">(i.e., </w:t>
      </w:r>
      <w:r w:rsidR="6CA82726">
        <w:t>only the landform design itself</w:t>
      </w:r>
      <w:r w:rsidR="007E218A">
        <w:t>)</w:t>
      </w:r>
      <w:r w:rsidR="00A37D8E">
        <w:t>. I</w:t>
      </w:r>
      <w:r w:rsidR="007617B0">
        <w:t xml:space="preserve">dentifying the starting point </w:t>
      </w:r>
      <w:r w:rsidR="007253DA">
        <w:t xml:space="preserve">then </w:t>
      </w:r>
      <w:r w:rsidR="00E51B9D">
        <w:t>allows</w:t>
      </w:r>
      <w:r w:rsidR="0030060A">
        <w:t xml:space="preserve"> for</w:t>
      </w:r>
      <w:r w:rsidR="00AF3818">
        <w:t xml:space="preserve"> c</w:t>
      </w:r>
      <w:r w:rsidR="008E03D8">
        <w:t xml:space="preserve">lear identification of </w:t>
      </w:r>
      <w:r w:rsidR="26FF0ADB">
        <w:t xml:space="preserve">the </w:t>
      </w:r>
      <w:r w:rsidR="006148B5">
        <w:t>post closure</w:t>
      </w:r>
      <w:r w:rsidR="008E03D8">
        <w:t xml:space="preserve"> controls</w:t>
      </w:r>
      <w:r w:rsidR="0074054E">
        <w:t xml:space="preserve"> </w:t>
      </w:r>
      <w:r w:rsidR="75C1E9CC">
        <w:t xml:space="preserve">required </w:t>
      </w:r>
      <w:r w:rsidR="00967AD5">
        <w:t xml:space="preserve">to manage </w:t>
      </w:r>
      <w:r w:rsidR="00080C7A">
        <w:t xml:space="preserve">and maintain </w:t>
      </w:r>
      <w:r w:rsidR="00967AD5">
        <w:t>the</w:t>
      </w:r>
      <w:r w:rsidR="0074054E">
        <w:t xml:space="preserve"> final landform</w:t>
      </w:r>
      <w:r w:rsidR="00AF3818">
        <w:t xml:space="preserve">. </w:t>
      </w:r>
    </w:p>
    <w:p w14:paraId="641261CA" w14:textId="4CF0156A" w:rsidR="004F500F" w:rsidRDefault="00614827" w:rsidP="004F500F">
      <w:pPr>
        <w:pStyle w:val="Heading3"/>
      </w:pPr>
      <w:bookmarkStart w:id="35" w:name="_Ref209439258"/>
      <w:bookmarkStart w:id="36" w:name="_Toc215653652"/>
      <w:bookmarkStart w:id="37" w:name="_Toc220407011"/>
      <w:bookmarkStart w:id="38" w:name="_Ref209091958"/>
      <w:r>
        <w:t xml:space="preserve">Developing a </w:t>
      </w:r>
      <w:r w:rsidR="004F500F">
        <w:t>Conceptual Site Model</w:t>
      </w:r>
      <w:bookmarkEnd w:id="35"/>
      <w:bookmarkEnd w:id="36"/>
      <w:bookmarkEnd w:id="37"/>
      <w:r w:rsidR="004F500F">
        <w:t xml:space="preserve"> </w:t>
      </w:r>
    </w:p>
    <w:p w14:paraId="303E74E0" w14:textId="0770BEA6" w:rsidR="004F500F" w:rsidRDefault="004F500F" w:rsidP="2D1735F5">
      <w:r>
        <w:t xml:space="preserve">A CSM helps to </w:t>
      </w:r>
      <w:r w:rsidR="7287C2F2">
        <w:t>identify</w:t>
      </w:r>
      <w:r w:rsidR="3E41B8F4">
        <w:t xml:space="preserve"> </w:t>
      </w:r>
      <w:r>
        <w:t xml:space="preserve">environmental, human health and other risks posed by </w:t>
      </w:r>
      <w:r w:rsidR="09536C2B">
        <w:t xml:space="preserve">a </w:t>
      </w:r>
      <w:r>
        <w:t xml:space="preserve">repurposed site </w:t>
      </w:r>
      <w:r w:rsidR="60DFECA5">
        <w:t>by</w:t>
      </w:r>
      <w:r>
        <w:t xml:space="preserve"> outlining potential source, pathway and receptor (SPR) relationships</w:t>
      </w:r>
      <w:r>
        <w:rPr>
          <w:rStyle w:val="FootnoteReference"/>
        </w:rPr>
        <w:footnoteReference w:id="28"/>
      </w:r>
      <w:r>
        <w:t xml:space="preserve">. Taking the time to develop a site-wide CSM (and potentially multiple CSMs based on domain and / or discipline) for the </w:t>
      </w:r>
      <w:r w:rsidR="006148B5">
        <w:t>post closure</w:t>
      </w:r>
      <w:r>
        <w:t xml:space="preserve"> period, prior to commencing a risk assessment, assist</w:t>
      </w:r>
      <w:r w:rsidR="091E8347">
        <w:t>s</w:t>
      </w:r>
      <w:r>
        <w:t xml:space="preserve"> in visualising and understanding </w:t>
      </w:r>
      <w:r w:rsidR="72A3D784">
        <w:t>potential future outcomes</w:t>
      </w:r>
      <w:r>
        <w:t xml:space="preserve">. The </w:t>
      </w:r>
      <w:r w:rsidR="006148B5">
        <w:t>post closure</w:t>
      </w:r>
      <w:r>
        <w:t xml:space="preserve"> </w:t>
      </w:r>
      <w:r w:rsidR="1484C1F6">
        <w:t>CSM</w:t>
      </w:r>
      <w:r w:rsidR="00A54BFF">
        <w:t xml:space="preserve"> </w:t>
      </w:r>
      <w:r>
        <w:t xml:space="preserve">should be constructed </w:t>
      </w:r>
      <w:r w:rsidR="589C188D">
        <w:t xml:space="preserve">on </w:t>
      </w:r>
      <w:r>
        <w:t>the assumption that final landforms are in place</w:t>
      </w:r>
      <w:r w:rsidR="6847A794">
        <w:t>,</w:t>
      </w:r>
      <w:r>
        <w:t xml:space="preserve"> rehabilitat</w:t>
      </w:r>
      <w:r w:rsidR="6C63DC3E">
        <w:t>ion has been completed</w:t>
      </w:r>
      <w:r>
        <w:t xml:space="preserve"> and proposed </w:t>
      </w:r>
      <w:r w:rsidR="006148B5">
        <w:t>post closure</w:t>
      </w:r>
      <w:r>
        <w:t xml:space="preserve"> land uses </w:t>
      </w:r>
      <w:r w:rsidR="5AFA4701">
        <w:t xml:space="preserve">are </w:t>
      </w:r>
      <w:r>
        <w:t xml:space="preserve">implemented. </w:t>
      </w:r>
    </w:p>
    <w:p w14:paraId="67167DD4" w14:textId="754D51F8" w:rsidR="004F500F" w:rsidRDefault="004F500F" w:rsidP="004F500F">
      <w:r>
        <w:t xml:space="preserve">The SPR model is widely </w:t>
      </w:r>
      <w:r w:rsidR="40639CCC">
        <w:t xml:space="preserve">applied </w:t>
      </w:r>
      <w:r>
        <w:t xml:space="preserve">in environmental assessments. The Environment Protection Authority Victoria (EPA) provides guidance on the development of CSMs and </w:t>
      </w:r>
      <w:r w:rsidR="3D834DDB">
        <w:t>identifying</w:t>
      </w:r>
      <w:r>
        <w:t xml:space="preserve"> potential source</w:t>
      </w:r>
      <w:r w:rsidR="2C36873F">
        <w:t>s</w:t>
      </w:r>
      <w:r>
        <w:t>, pathways and receptors at sites. The CSM can be extended to non-environmental aspects of risk assessments. The CSM and SPR model provides a structured approach to understanding the site and the potential risks</w:t>
      </w:r>
      <w:r w:rsidR="72F6263D">
        <w:t xml:space="preserve"> arising from its</w:t>
      </w:r>
      <w:r w:rsidR="008E26C5">
        <w:t xml:space="preserve"> </w:t>
      </w:r>
      <w:r>
        <w:t xml:space="preserve">conditions. </w:t>
      </w:r>
      <w:r w:rsidR="00010301">
        <w:t>The CSM should not be static but be developed as more information comes to light.</w:t>
      </w:r>
      <w:r>
        <w:t xml:space="preserve">  </w:t>
      </w:r>
      <w:r w:rsidR="0055773D">
        <w:t xml:space="preserve"> </w:t>
      </w:r>
      <w:r w:rsidR="003E6E2F">
        <w:t xml:space="preserve">The </w:t>
      </w:r>
      <w:r w:rsidR="00C1139D">
        <w:t>Independent Expert Scientific Committee (I</w:t>
      </w:r>
      <w:r w:rsidR="003E6E2F">
        <w:t>ESC</w:t>
      </w:r>
      <w:r w:rsidR="00C1139D">
        <w:t>)</w:t>
      </w:r>
      <w:r w:rsidR="003E6E2F">
        <w:t xml:space="preserve"> also provides guidance on</w:t>
      </w:r>
      <w:r w:rsidR="00030E7F">
        <w:t xml:space="preserve"> the conceptualisation of</w:t>
      </w:r>
      <w:r w:rsidR="003E6E2F">
        <w:t xml:space="preserve"> </w:t>
      </w:r>
      <w:r w:rsidR="00030E7F">
        <w:t xml:space="preserve">ecohydrological </w:t>
      </w:r>
      <w:r w:rsidR="003E6E2F">
        <w:t>impact pathway diagrams</w:t>
      </w:r>
      <w:r w:rsidR="00030E7F">
        <w:t>,</w:t>
      </w:r>
      <w:r w:rsidR="008F2689">
        <w:t xml:space="preserve"> the methodology can be applied </w:t>
      </w:r>
      <w:r w:rsidR="00030E7F">
        <w:t xml:space="preserve">to </w:t>
      </w:r>
      <w:r w:rsidR="008F2689">
        <w:t>domains and</w:t>
      </w:r>
      <w:r w:rsidR="00191503">
        <w:t xml:space="preserve"> to </w:t>
      </w:r>
      <w:r w:rsidR="00592DF7">
        <w:t xml:space="preserve">other potential </w:t>
      </w:r>
      <w:r w:rsidR="00E366D0">
        <w:t xml:space="preserve">sources, pathways &amp; </w:t>
      </w:r>
      <w:r w:rsidR="002E4042">
        <w:t>receptors</w:t>
      </w:r>
      <w:r w:rsidR="00592DF7">
        <w:t>.</w:t>
      </w:r>
      <w:r>
        <w:t xml:space="preserve"> </w:t>
      </w:r>
    </w:p>
    <w:p w14:paraId="64E620A7" w14:textId="77777777" w:rsidR="004F500F" w:rsidRDefault="004F500F" w:rsidP="004F500F">
      <w:r>
        <w:t xml:space="preserve">The CSM seeks to identify: </w:t>
      </w:r>
    </w:p>
    <w:p w14:paraId="6B7FA36C" w14:textId="77777777" w:rsidR="004F500F" w:rsidRDefault="004F500F" w:rsidP="00904A18">
      <w:pPr>
        <w:pStyle w:val="ListParagraph"/>
        <w:numPr>
          <w:ilvl w:val="0"/>
          <w:numId w:val="16"/>
        </w:numPr>
      </w:pPr>
      <w:r>
        <w:t xml:space="preserve">sources – site activities and hazards, </w:t>
      </w:r>
    </w:p>
    <w:p w14:paraId="1AAD50A3" w14:textId="77777777" w:rsidR="004F500F" w:rsidRDefault="004F500F" w:rsidP="00904A18">
      <w:pPr>
        <w:pStyle w:val="ListParagraph"/>
        <w:numPr>
          <w:ilvl w:val="0"/>
          <w:numId w:val="16"/>
        </w:numPr>
      </w:pPr>
      <w:r>
        <w:t xml:space="preserve">pathways – the routes the hazard can take to reach the receptor, </w:t>
      </w:r>
    </w:p>
    <w:p w14:paraId="05FB2DFF" w14:textId="71F9D126" w:rsidR="004F500F" w:rsidRDefault="004F500F" w:rsidP="00904A18">
      <w:pPr>
        <w:pStyle w:val="ListParagraph"/>
        <w:numPr>
          <w:ilvl w:val="0"/>
          <w:numId w:val="16"/>
        </w:numPr>
      </w:pPr>
      <w:r>
        <w:t xml:space="preserve">receptors – environmental, </w:t>
      </w:r>
      <w:r w:rsidR="004435AA">
        <w:t xml:space="preserve">cultural, </w:t>
      </w:r>
      <w:r>
        <w:t xml:space="preserve">infrastructure and human receptors that can be harmed / damaged. </w:t>
      </w:r>
    </w:p>
    <w:p w14:paraId="10204CA2" w14:textId="3645EB34" w:rsidR="004F500F" w:rsidRDefault="004F500F" w:rsidP="004F500F">
      <w:r>
        <w:t>Risks are realised when SPR linkages are complete</w:t>
      </w:r>
      <w:r>
        <w:rPr>
          <w:rStyle w:val="FootnoteReference"/>
        </w:rPr>
        <w:footnoteReference w:id="29"/>
      </w:r>
      <w:r>
        <w:t xml:space="preserve">. A CSM may be presented in a </w:t>
      </w:r>
      <w:r w:rsidR="00A77C96">
        <w:t>pictorial</w:t>
      </w:r>
      <w:r w:rsidR="00005FF1">
        <w:t>/ graphical</w:t>
      </w:r>
      <w:r w:rsidR="002D784E">
        <w:t xml:space="preserve"> (which is one of the</w:t>
      </w:r>
      <w:r w:rsidR="00005FF1">
        <w:t xml:space="preserve"> </w:t>
      </w:r>
      <w:r w:rsidR="002D784E">
        <w:t xml:space="preserve">most effective ways </w:t>
      </w:r>
      <w:r w:rsidR="00005FF1">
        <w:t>to</w:t>
      </w:r>
      <w:r w:rsidR="002D784E">
        <w:t xml:space="preserve"> </w:t>
      </w:r>
      <w:r w:rsidR="00005FF1">
        <w:t>understand and communicate a complex site)</w:t>
      </w:r>
      <w:r w:rsidR="7F514A62">
        <w:t>, text or tabular</w:t>
      </w:r>
      <w:r w:rsidR="00A77C96">
        <w:t xml:space="preserve"> format</w:t>
      </w:r>
      <w:r w:rsidR="00A77C96" w:rsidDel="0030793B">
        <w:t>.</w:t>
      </w:r>
      <w:r w:rsidR="0088289D">
        <w:t xml:space="preserve"> </w:t>
      </w:r>
      <w:r w:rsidR="00243A40">
        <w:t>For mor</w:t>
      </w:r>
      <w:r w:rsidR="00030E7F">
        <w:t>e</w:t>
      </w:r>
      <w:r w:rsidR="00243A40">
        <w:t xml:space="preserve"> information and </w:t>
      </w:r>
      <w:r w:rsidR="00967E9A">
        <w:t>example</w:t>
      </w:r>
      <w:r w:rsidR="00243A40">
        <w:t>s</w:t>
      </w:r>
      <w:r w:rsidR="00967E9A">
        <w:t xml:space="preserve"> of CSM</w:t>
      </w:r>
      <w:r w:rsidR="00243A40">
        <w:t xml:space="preserve">s </w:t>
      </w:r>
      <w:r w:rsidR="00667B5E">
        <w:t xml:space="preserve">see IESC guidance </w:t>
      </w:r>
      <w:r w:rsidR="00243A40">
        <w:t>document</w:t>
      </w:r>
      <w:r w:rsidR="006F08A6">
        <w:rPr>
          <w:rStyle w:val="FootnoteReference"/>
        </w:rPr>
        <w:footnoteReference w:id="30"/>
      </w:r>
      <w:r w:rsidR="00030E7F">
        <w:t>.</w:t>
      </w:r>
      <w:r w:rsidR="0088289D">
        <w:t xml:space="preserve"> </w:t>
      </w:r>
    </w:p>
    <w:p w14:paraId="1B822D51" w14:textId="3A0DC82F" w:rsidR="00B938C5" w:rsidRDefault="00B938C5" w:rsidP="00427FA4">
      <w:r>
        <w:t xml:space="preserve">The </w:t>
      </w:r>
      <w:r w:rsidR="001B5173">
        <w:t>l</w:t>
      </w:r>
      <w:r>
        <w:t xml:space="preserve">evel of complexity </w:t>
      </w:r>
      <w:r w:rsidR="001B5173">
        <w:t>of th</w:t>
      </w:r>
      <w:r w:rsidR="001B5173" w:rsidRPr="00DD0150">
        <w:t xml:space="preserve">e level of conceptual model development that is appropriate will depend on the nature of the issue being addressed and the scale of the systems to be considered. For complex systems and issues, several conceptual models that vary in scope, detail, spatial extent, relevant time frame and focus may be necessary to fully reflect the complexity of the system, and to maximise usability. For very simple systems or issues, for example, potential impacts of </w:t>
      </w:r>
      <w:r w:rsidR="00EE1017">
        <w:t xml:space="preserve">one </w:t>
      </w:r>
      <w:r w:rsidR="001B5173" w:rsidRPr="00DD0150">
        <w:t>point source waste discharge, a simple box and arrow model or even a text description alone may be sufficient</w:t>
      </w:r>
      <w:r w:rsidR="00320758">
        <w:t>.</w:t>
      </w:r>
      <w:r w:rsidR="001B5173">
        <w:t xml:space="preserve"> </w:t>
      </w:r>
      <w:r w:rsidR="002111EE">
        <w:t xml:space="preserve">Further information on how to develop a CSM </w:t>
      </w:r>
      <w:r w:rsidR="009043A9">
        <w:t xml:space="preserve">can be found in the </w:t>
      </w:r>
      <w:r w:rsidR="00390025">
        <w:t xml:space="preserve">Australian </w:t>
      </w:r>
      <w:r w:rsidR="007E5D85">
        <w:t xml:space="preserve">&amp; New Zealand </w:t>
      </w:r>
      <w:r w:rsidR="008B2C87">
        <w:t>Guidelines for Fresh &amp; Marine Water Quality</w:t>
      </w:r>
      <w:r w:rsidR="00873AC7">
        <w:t xml:space="preserve"> Conceptual models section</w:t>
      </w:r>
      <w:r w:rsidR="001E722F">
        <w:rPr>
          <w:rStyle w:val="FootnoteReference"/>
        </w:rPr>
        <w:footnoteReference w:id="31"/>
      </w:r>
      <w:r w:rsidR="002B71AA">
        <w:t>.</w:t>
      </w:r>
    </w:p>
    <w:p w14:paraId="27F17920" w14:textId="77777777" w:rsidR="00427FA4" w:rsidRDefault="00427FA4" w:rsidP="004F500F"/>
    <w:p w14:paraId="41E8DA50" w14:textId="243B6B6E" w:rsidR="00B34B0F" w:rsidRPr="007754D0" w:rsidRDefault="00B86578" w:rsidP="00B86578">
      <w:pPr>
        <w:pStyle w:val="Heading3"/>
      </w:pPr>
      <w:bookmarkStart w:id="39" w:name="_Toc215653653"/>
      <w:bookmarkStart w:id="40" w:name="_Toc220407012"/>
      <w:r w:rsidRPr="007754D0">
        <w:lastRenderedPageBreak/>
        <w:t xml:space="preserve">Understanding </w:t>
      </w:r>
      <w:r w:rsidR="006148B5">
        <w:t>post closure</w:t>
      </w:r>
      <w:r w:rsidRPr="007754D0">
        <w:t xml:space="preserve"> timeframes</w:t>
      </w:r>
      <w:bookmarkEnd w:id="38"/>
      <w:bookmarkEnd w:id="39"/>
      <w:bookmarkEnd w:id="40"/>
    </w:p>
    <w:p w14:paraId="31FF6B87" w14:textId="0B18A38C" w:rsidR="00B86578" w:rsidRDefault="00B86578" w:rsidP="00B86578">
      <w:r>
        <w:t xml:space="preserve">Timescales for the </w:t>
      </w:r>
      <w:r w:rsidR="006148B5">
        <w:t xml:space="preserve">post </w:t>
      </w:r>
      <w:r>
        <w:t xml:space="preserve">closure period </w:t>
      </w:r>
      <w:r w:rsidR="52AA77D0">
        <w:t>are</w:t>
      </w:r>
      <w:r>
        <w:t xml:space="preserve"> often discussed as “in perpetuity”</w:t>
      </w:r>
      <w:r w:rsidR="00080002">
        <w:t>,</w:t>
      </w:r>
      <w:r>
        <w:t xml:space="preserve"> </w:t>
      </w:r>
      <w:r w:rsidR="00080002">
        <w:t>T</w:t>
      </w:r>
      <w:r w:rsidR="00282398">
        <w:t>here</w:t>
      </w:r>
      <w:r w:rsidR="00E479F8">
        <w:t xml:space="preserve"> are </w:t>
      </w:r>
      <w:r>
        <w:t>practical implications</w:t>
      </w:r>
      <w:r w:rsidR="00E479F8">
        <w:t xml:space="preserve"> </w:t>
      </w:r>
      <w:r w:rsidR="493A7B2B">
        <w:t>in applying this concept</w:t>
      </w:r>
      <w:r w:rsidR="00413BD3">
        <w:t xml:space="preserve"> to closure planning </w:t>
      </w:r>
      <w:r w:rsidR="00465D61">
        <w:t xml:space="preserve">that need to be </w:t>
      </w:r>
      <w:r w:rsidR="0043101C">
        <w:t>addressed</w:t>
      </w:r>
      <w:r w:rsidR="493A7B2B">
        <w:t xml:space="preserve"> </w:t>
      </w:r>
      <w:r>
        <w:t xml:space="preserve">(e.g., </w:t>
      </w:r>
      <w:r w:rsidR="0EBE46F9">
        <w:t xml:space="preserve">to </w:t>
      </w:r>
      <w:r w:rsidR="005E48D9">
        <w:t xml:space="preserve">engineering </w:t>
      </w:r>
      <w:r w:rsidR="0EBE46F9">
        <w:t xml:space="preserve">design considerations, </w:t>
      </w:r>
      <w:r>
        <w:t>changing risk profiles,</w:t>
      </w:r>
      <w:r w:rsidR="00867B8D">
        <w:t xml:space="preserve"> </w:t>
      </w:r>
      <w:r w:rsidR="00144507">
        <w:t xml:space="preserve">climate change, </w:t>
      </w:r>
      <w:r w:rsidR="4E0CEF30">
        <w:t xml:space="preserve">evolving </w:t>
      </w:r>
      <w:r w:rsidR="00867B8D">
        <w:t>land uses,</w:t>
      </w:r>
      <w:r>
        <w:t xml:space="preserve"> expected maintenance and monitoring, </w:t>
      </w:r>
      <w:r w:rsidR="6ED5DDA3">
        <w:t xml:space="preserve">potential </w:t>
      </w:r>
      <w:r>
        <w:t xml:space="preserve">failures and </w:t>
      </w:r>
      <w:r w:rsidR="5DB31D08">
        <w:t xml:space="preserve">associated </w:t>
      </w:r>
      <w:r>
        <w:t>costs</w:t>
      </w:r>
      <w:r w:rsidR="73A7BB60">
        <w:t>)</w:t>
      </w:r>
      <w:r>
        <w:t xml:space="preserve">. </w:t>
      </w:r>
    </w:p>
    <w:p w14:paraId="2ECCE366" w14:textId="6DA01A13" w:rsidR="00B86578" w:rsidRDefault="007A76CB" w:rsidP="2D1735F5">
      <w:r>
        <w:t xml:space="preserve">It is </w:t>
      </w:r>
      <w:r w:rsidR="29FED6CC">
        <w:t>therefore</w:t>
      </w:r>
      <w:r>
        <w:t xml:space="preserve"> important</w:t>
      </w:r>
      <w:r w:rsidR="650FADEF">
        <w:t>,</w:t>
      </w:r>
      <w:r>
        <w:t xml:space="preserve"> that </w:t>
      </w:r>
      <w:r w:rsidR="00135CEA">
        <w:t xml:space="preserve">as part of defining the </w:t>
      </w:r>
      <w:r w:rsidR="00C60493">
        <w:t xml:space="preserve">starting point of the </w:t>
      </w:r>
      <w:r w:rsidR="006148B5">
        <w:t>post closure</w:t>
      </w:r>
      <w:r w:rsidR="00C60493">
        <w:t xml:space="preserve"> risk assessment, </w:t>
      </w:r>
      <w:r w:rsidR="00E479F8">
        <w:t>the</w:t>
      </w:r>
      <w:r w:rsidR="00B86578">
        <w:t xml:space="preserve"> timeframes </w:t>
      </w:r>
      <w:r w:rsidR="54B35149">
        <w:t xml:space="preserve">adopted </w:t>
      </w:r>
      <w:r w:rsidR="00B86578">
        <w:t xml:space="preserve">in the assessment and </w:t>
      </w:r>
      <w:r w:rsidR="73937A7E">
        <w:t xml:space="preserve">in the </w:t>
      </w:r>
      <w:r w:rsidR="00F303A3">
        <w:t>associated</w:t>
      </w:r>
      <w:r w:rsidR="00B86578">
        <w:t xml:space="preserve"> monitoring and maintenance plan</w:t>
      </w:r>
      <w:r w:rsidR="00E479F8">
        <w:t xml:space="preserve"> are expressly stated</w:t>
      </w:r>
      <w:r w:rsidR="00F303A3">
        <w:t>,</w:t>
      </w:r>
      <w:r w:rsidR="00E479F8">
        <w:t xml:space="preserve"> </w:t>
      </w:r>
      <w:r w:rsidR="68E734C6">
        <w:t>with</w:t>
      </w:r>
      <w:r w:rsidR="0044001D">
        <w:t xml:space="preserve"> </w:t>
      </w:r>
      <w:r w:rsidR="00B86578">
        <w:t xml:space="preserve">justification provided to </w:t>
      </w:r>
      <w:r w:rsidR="189965C5">
        <w:t xml:space="preserve">demonstrate </w:t>
      </w:r>
      <w:r w:rsidR="6CCE6D0E">
        <w:t xml:space="preserve">their </w:t>
      </w:r>
      <w:r w:rsidR="00B86578">
        <w:t>appropriate</w:t>
      </w:r>
      <w:r w:rsidR="0BE4C01E">
        <w:t xml:space="preserve">ness </w:t>
      </w:r>
      <w:r w:rsidR="00B86578">
        <w:t>(e.g., linking to confidence in climate modelling</w:t>
      </w:r>
      <w:r w:rsidR="00A77606">
        <w:t>, or engineering design life</w:t>
      </w:r>
      <w:r w:rsidR="00B86578">
        <w:t xml:space="preserve">). The risk assessment methodology should </w:t>
      </w:r>
      <w:r w:rsidR="577D6B76">
        <w:t xml:space="preserve">also </w:t>
      </w:r>
      <w:r w:rsidR="001417F5">
        <w:t xml:space="preserve">state </w:t>
      </w:r>
      <w:r w:rsidR="00B86578">
        <w:t xml:space="preserve">how timeframes, particularly </w:t>
      </w:r>
      <w:r w:rsidR="4E2E5669">
        <w:t xml:space="preserve">in relation to </w:t>
      </w:r>
      <w:r w:rsidR="00B86578">
        <w:t xml:space="preserve">the likelihood of risk events, have been considered.  </w:t>
      </w:r>
    </w:p>
    <w:p w14:paraId="5D321A33" w14:textId="4B6B850D" w:rsidR="005B2046" w:rsidRDefault="005B2046" w:rsidP="00F00CA7">
      <w:pPr>
        <w:pStyle w:val="Heading2"/>
      </w:pPr>
      <w:bookmarkStart w:id="41" w:name="_Toc215653654"/>
      <w:bookmarkStart w:id="42" w:name="_Toc220407013"/>
      <w:r>
        <w:t>Risk identification</w:t>
      </w:r>
      <w:bookmarkEnd w:id="41"/>
      <w:bookmarkEnd w:id="42"/>
    </w:p>
    <w:p w14:paraId="0D2D7A5E" w14:textId="6D9A2888" w:rsidR="00B76451" w:rsidRDefault="00D064CE" w:rsidP="008E7CF7">
      <w:r>
        <w:t xml:space="preserve">The risk identification process </w:t>
      </w:r>
      <w:r w:rsidR="005B09DF">
        <w:t>should</w:t>
      </w:r>
      <w:r>
        <w:t xml:space="preserve"> begin with an inventory</w:t>
      </w:r>
      <w:r w:rsidR="008E7CF7">
        <w:t xml:space="preserve"> (by domain)</w:t>
      </w:r>
      <w:r w:rsidR="00087E64">
        <w:t xml:space="preserve"> as described in Section </w:t>
      </w:r>
      <w:r w:rsidR="00B9264E">
        <w:fldChar w:fldCharType="begin"/>
      </w:r>
      <w:r w:rsidR="00B9264E">
        <w:instrText xml:space="preserve"> REF _Ref216275158 \r \h </w:instrText>
      </w:r>
      <w:r w:rsidR="00B9264E">
        <w:fldChar w:fldCharType="separate"/>
      </w:r>
      <w:r w:rsidR="001C0481">
        <w:t>5.2</w:t>
      </w:r>
      <w:r w:rsidR="00B9264E">
        <w:fldChar w:fldCharType="end"/>
      </w:r>
      <w:r w:rsidR="00097987">
        <w:t xml:space="preserve">, and </w:t>
      </w:r>
      <w:r w:rsidR="003F56FA">
        <w:t xml:space="preserve">the </w:t>
      </w:r>
      <w:r w:rsidR="205624B0">
        <w:t xml:space="preserve">development </w:t>
      </w:r>
      <w:r w:rsidR="003F56FA">
        <w:t xml:space="preserve">of </w:t>
      </w:r>
      <w:r w:rsidR="00042EF6">
        <w:t xml:space="preserve">a </w:t>
      </w:r>
      <w:r w:rsidR="00FA3F52">
        <w:t xml:space="preserve">comprehensive </w:t>
      </w:r>
      <w:r w:rsidR="0086160D">
        <w:t>list of</w:t>
      </w:r>
      <w:r w:rsidR="00E6048E">
        <w:t xml:space="preserve"> potential hazards </w:t>
      </w:r>
      <w:r w:rsidR="002C68FB">
        <w:t xml:space="preserve">which </w:t>
      </w:r>
      <w:r w:rsidR="00490185">
        <w:t>could</w:t>
      </w:r>
      <w:r w:rsidR="00F014EE">
        <w:t xml:space="preserve"> have an</w:t>
      </w:r>
      <w:r w:rsidR="009C2184">
        <w:t xml:space="preserve"> impact on the</w:t>
      </w:r>
      <w:r w:rsidR="00E75BE6">
        <w:t xml:space="preserve"> rehabilitated landform not continuing to achieve rehabilitation objectives and the legislated safe, stable and sustainable requirements, during the </w:t>
      </w:r>
      <w:r w:rsidR="006148B5">
        <w:t>post closure</w:t>
      </w:r>
      <w:r w:rsidR="00E75BE6">
        <w:t xml:space="preserve"> period. </w:t>
      </w:r>
    </w:p>
    <w:p w14:paraId="0EB72956" w14:textId="73664E2D" w:rsidR="002702C8" w:rsidRDefault="00CE3515" w:rsidP="008E7CF7">
      <w:r>
        <w:t xml:space="preserve">Examples </w:t>
      </w:r>
      <w:r w:rsidR="009B3B4B">
        <w:t xml:space="preserve">of </w:t>
      </w:r>
      <w:r w:rsidR="006440DF">
        <w:t xml:space="preserve">key </w:t>
      </w:r>
      <w:r w:rsidR="00344C60">
        <w:t xml:space="preserve">aspects </w:t>
      </w:r>
      <w:r w:rsidR="006440DF">
        <w:t xml:space="preserve">which are </w:t>
      </w:r>
      <w:r w:rsidR="00344C60">
        <w:t xml:space="preserve">important </w:t>
      </w:r>
      <w:r w:rsidR="006440DF">
        <w:t xml:space="preserve">to consider </w:t>
      </w:r>
      <w:r w:rsidR="000A3838">
        <w:t xml:space="preserve">when </w:t>
      </w:r>
      <w:r w:rsidR="007C366B">
        <w:t xml:space="preserve">identifying </w:t>
      </w:r>
      <w:r w:rsidR="006148B5">
        <w:t>post closure</w:t>
      </w:r>
      <w:r w:rsidR="006440DF">
        <w:t xml:space="preserve"> </w:t>
      </w:r>
      <w:r w:rsidR="007C366B">
        <w:t>risks</w:t>
      </w:r>
      <w:r w:rsidR="009B3B4B">
        <w:t xml:space="preserve"> follow</w:t>
      </w:r>
      <w:r w:rsidR="00344C60">
        <w:t xml:space="preserve">. </w:t>
      </w:r>
    </w:p>
    <w:p w14:paraId="3EB70BB9" w14:textId="370897DB" w:rsidR="000756B2" w:rsidRDefault="000756B2" w:rsidP="005046DE">
      <w:pPr>
        <w:pStyle w:val="Heading3"/>
      </w:pPr>
      <w:bookmarkStart w:id="43" w:name="_Toc215653655"/>
      <w:bookmarkStart w:id="44" w:name="_Toc220407014"/>
      <w:r>
        <w:t xml:space="preserve">Final </w:t>
      </w:r>
      <w:r w:rsidR="00842C73">
        <w:t>l</w:t>
      </w:r>
      <w:r>
        <w:t>andform</w:t>
      </w:r>
      <w:r w:rsidR="00B57F01">
        <w:t xml:space="preserve"> – </w:t>
      </w:r>
      <w:r w:rsidR="00842C73">
        <w:t>n</w:t>
      </w:r>
      <w:r w:rsidR="00473BE7">
        <w:t xml:space="preserve">ew and </w:t>
      </w:r>
      <w:r w:rsidR="00842C73">
        <w:t>e</w:t>
      </w:r>
      <w:r w:rsidR="00473BE7">
        <w:t xml:space="preserve">xisting </w:t>
      </w:r>
      <w:r w:rsidR="00AF4A3F">
        <w:t xml:space="preserve">sources/ </w:t>
      </w:r>
      <w:r w:rsidR="00842C73">
        <w:t>h</w:t>
      </w:r>
      <w:r w:rsidR="00B57F01">
        <w:t>azard</w:t>
      </w:r>
      <w:r w:rsidR="00842C73">
        <w:t>s</w:t>
      </w:r>
      <w:bookmarkEnd w:id="43"/>
      <w:bookmarkEnd w:id="44"/>
    </w:p>
    <w:p w14:paraId="51C8A559" w14:textId="01CFC88F" w:rsidR="00BE6AC7" w:rsidRDefault="00BE6AC7" w:rsidP="004E74D9">
      <w:r>
        <w:t xml:space="preserve">As the landform is transformed from operational to rehabilitation and then to </w:t>
      </w:r>
      <w:r w:rsidR="00A517FA">
        <w:t xml:space="preserve">the final landform post </w:t>
      </w:r>
      <w:r w:rsidR="00157F59">
        <w:t xml:space="preserve">licence </w:t>
      </w:r>
      <w:r w:rsidR="00A517FA">
        <w:t>surrender</w:t>
      </w:r>
      <w:r>
        <w:t xml:space="preserve">, new hazards may be introduced and / or existing hazards altered. Examples of features posing potential </w:t>
      </w:r>
      <w:r w:rsidR="006148B5">
        <w:t>post closure</w:t>
      </w:r>
      <w:r w:rsidR="00457886">
        <w:t xml:space="preserve"> </w:t>
      </w:r>
      <w:r>
        <w:t>hazards</w:t>
      </w:r>
      <w:r w:rsidR="00457886">
        <w:t>/ sources</w:t>
      </w:r>
      <w:r w:rsidR="00A517FA">
        <w:t xml:space="preserve"> </w:t>
      </w:r>
      <w:r>
        <w:t xml:space="preserve">are outlined below. </w:t>
      </w:r>
    </w:p>
    <w:p w14:paraId="6077D949" w14:textId="5149EC1E" w:rsidR="00267465" w:rsidRDefault="00904A18" w:rsidP="00904A18">
      <w:pPr>
        <w:pStyle w:val="ListParagraph"/>
        <w:numPr>
          <w:ilvl w:val="0"/>
          <w:numId w:val="15"/>
        </w:numPr>
      </w:pPr>
      <w:r>
        <w:t>p</w:t>
      </w:r>
      <w:r w:rsidR="000C07D8">
        <w:t>it</w:t>
      </w:r>
      <w:r w:rsidR="00267465">
        <w:t xml:space="preserve"> lake</w:t>
      </w:r>
      <w:r w:rsidR="000C07D8">
        <w:t xml:space="preserve"> waterbody </w:t>
      </w:r>
      <w:r w:rsidR="00267465">
        <w:t xml:space="preserve"> </w:t>
      </w:r>
    </w:p>
    <w:p w14:paraId="1291C238" w14:textId="795C9320" w:rsidR="00026899" w:rsidRDefault="00026899" w:rsidP="00904A18">
      <w:pPr>
        <w:pStyle w:val="ListParagraph"/>
        <w:numPr>
          <w:ilvl w:val="0"/>
          <w:numId w:val="15"/>
        </w:numPr>
      </w:pPr>
      <w:r>
        <w:t>pit lake water quality</w:t>
      </w:r>
    </w:p>
    <w:p w14:paraId="47327297" w14:textId="1C7A459E" w:rsidR="001959FA" w:rsidRDefault="00904A18" w:rsidP="00904A18">
      <w:pPr>
        <w:pStyle w:val="ListParagraph"/>
        <w:numPr>
          <w:ilvl w:val="0"/>
          <w:numId w:val="15"/>
        </w:numPr>
      </w:pPr>
      <w:r>
        <w:t>f</w:t>
      </w:r>
      <w:r w:rsidR="001959FA">
        <w:t>luctuations in pit lake levels</w:t>
      </w:r>
      <w:r w:rsidR="00366270">
        <w:t xml:space="preserve"> due to </w:t>
      </w:r>
      <w:r w:rsidR="00A041B2">
        <w:t xml:space="preserve">evaporation or release of water </w:t>
      </w:r>
      <w:r w:rsidR="0030572B">
        <w:t xml:space="preserve">due to </w:t>
      </w:r>
      <w:r w:rsidR="001368BA">
        <w:t xml:space="preserve">wall </w:t>
      </w:r>
      <w:r w:rsidR="0030572B">
        <w:t>instability events</w:t>
      </w:r>
      <w:r w:rsidR="001959FA">
        <w:t xml:space="preserve"> </w:t>
      </w:r>
    </w:p>
    <w:p w14:paraId="7A7DC8D1" w14:textId="2B88F140" w:rsidR="00D32037" w:rsidRDefault="00904A18" w:rsidP="00904A18">
      <w:pPr>
        <w:pStyle w:val="ListParagraph"/>
        <w:numPr>
          <w:ilvl w:val="0"/>
          <w:numId w:val="15"/>
        </w:numPr>
      </w:pPr>
      <w:r>
        <w:t>r</w:t>
      </w:r>
      <w:r w:rsidR="000C07D8">
        <w:t>iver interconnection</w:t>
      </w:r>
      <w:r w:rsidR="001959FA">
        <w:t xml:space="preserve"> including </w:t>
      </w:r>
      <w:r w:rsidR="00BB40BA">
        <w:t xml:space="preserve">diversion, </w:t>
      </w:r>
      <w:r w:rsidR="001959FA">
        <w:t>inlet and outlet structures</w:t>
      </w:r>
      <w:r w:rsidR="00F04550">
        <w:t xml:space="preserve"> </w:t>
      </w:r>
    </w:p>
    <w:p w14:paraId="5CD06AE5" w14:textId="19F267F5" w:rsidR="00176370" w:rsidRDefault="00904A18" w:rsidP="00904A18">
      <w:pPr>
        <w:pStyle w:val="ListParagraph"/>
        <w:numPr>
          <w:ilvl w:val="0"/>
          <w:numId w:val="15"/>
        </w:numPr>
      </w:pPr>
      <w:r>
        <w:t>s</w:t>
      </w:r>
      <w:r w:rsidR="00176370">
        <w:t>urface water control structure</w:t>
      </w:r>
      <w:r w:rsidR="001959FA">
        <w:t>s</w:t>
      </w:r>
      <w:r w:rsidR="00176370">
        <w:t xml:space="preserve"> (</w:t>
      </w:r>
      <w:r w:rsidR="001959FA">
        <w:t>e.g., permanent surface water drains</w:t>
      </w:r>
      <w:r w:rsidR="00176370">
        <w:t xml:space="preserve">) </w:t>
      </w:r>
    </w:p>
    <w:p w14:paraId="6097C104" w14:textId="6B3B057B" w:rsidR="00D92FFD" w:rsidRDefault="00904A18" w:rsidP="00904A18">
      <w:pPr>
        <w:pStyle w:val="ListParagraph"/>
        <w:numPr>
          <w:ilvl w:val="0"/>
          <w:numId w:val="15"/>
        </w:numPr>
      </w:pPr>
      <w:r>
        <w:t>l</w:t>
      </w:r>
      <w:r w:rsidR="0060131C">
        <w:t>andfills</w:t>
      </w:r>
      <w:r w:rsidR="002C147A">
        <w:t>/ a</w:t>
      </w:r>
      <w:r w:rsidR="00D92FFD">
        <w:t>sh dumps</w:t>
      </w:r>
    </w:p>
    <w:p w14:paraId="01C14B64" w14:textId="524E21FD" w:rsidR="002C147A" w:rsidRDefault="00904A18" w:rsidP="00904A18">
      <w:pPr>
        <w:pStyle w:val="ListParagraph"/>
        <w:numPr>
          <w:ilvl w:val="0"/>
          <w:numId w:val="15"/>
        </w:numPr>
      </w:pPr>
      <w:r>
        <w:t>o</w:t>
      </w:r>
      <w:r w:rsidR="002C147A">
        <w:t xml:space="preserve">verburden dumps </w:t>
      </w:r>
    </w:p>
    <w:p w14:paraId="4DFD8E54" w14:textId="11227502" w:rsidR="00017610" w:rsidRDefault="00904A18" w:rsidP="00904A18">
      <w:pPr>
        <w:pStyle w:val="ListParagraph"/>
        <w:numPr>
          <w:ilvl w:val="0"/>
          <w:numId w:val="15"/>
        </w:numPr>
      </w:pPr>
      <w:r>
        <w:t>h</w:t>
      </w:r>
      <w:r w:rsidR="000271E1">
        <w:t>igh wall</w:t>
      </w:r>
      <w:r w:rsidR="00B26F10">
        <w:t xml:space="preserve">s and exposed steep slopes / batters. </w:t>
      </w:r>
      <w:r w:rsidR="000271E1">
        <w:t xml:space="preserve"> </w:t>
      </w:r>
    </w:p>
    <w:p w14:paraId="0B870DCE" w14:textId="4595367C" w:rsidR="003E2BBC" w:rsidRDefault="00DD6D37" w:rsidP="00904A18">
      <w:pPr>
        <w:pStyle w:val="ListParagraph"/>
        <w:numPr>
          <w:ilvl w:val="0"/>
          <w:numId w:val="15"/>
        </w:numPr>
      </w:pPr>
      <w:r>
        <w:t>e</w:t>
      </w:r>
      <w:r w:rsidR="003E2BBC">
        <w:t>xposed coal</w:t>
      </w:r>
      <w:r w:rsidR="004443A2">
        <w:t xml:space="preserve"> </w:t>
      </w:r>
    </w:p>
    <w:p w14:paraId="2F5C2ACF" w14:textId="1FC31CDA" w:rsidR="000271E1" w:rsidRPr="000756B2" w:rsidRDefault="00A42C8D" w:rsidP="003246CB">
      <w:r>
        <w:t xml:space="preserve">It is important to </w:t>
      </w:r>
      <w:r w:rsidR="57AB1777">
        <w:t xml:space="preserve">identify </w:t>
      </w:r>
      <w:r>
        <w:t xml:space="preserve">all </w:t>
      </w:r>
      <w:r w:rsidR="00A072A4">
        <w:t>sources / hazards</w:t>
      </w:r>
      <w:r>
        <w:t xml:space="preserve"> </w:t>
      </w:r>
      <w:r w:rsidR="001B2025">
        <w:t xml:space="preserve">with due consideration of the </w:t>
      </w:r>
      <w:r w:rsidR="00C158EB">
        <w:t xml:space="preserve">final </w:t>
      </w:r>
      <w:r w:rsidR="001B2025">
        <w:t>landform</w:t>
      </w:r>
      <w:r w:rsidR="00C158EB">
        <w:t xml:space="preserve">, </w:t>
      </w:r>
      <w:r w:rsidR="00D30FE1">
        <w:t>across the entire mine licen</w:t>
      </w:r>
      <w:r w:rsidR="00157F59">
        <w:t>c</w:t>
      </w:r>
      <w:r w:rsidR="00D30FE1">
        <w:t>e area</w:t>
      </w:r>
      <w:r w:rsidR="00BF1C79">
        <w:t xml:space="preserve">. </w:t>
      </w:r>
      <w:r w:rsidR="00C54747">
        <w:t>See discussion on the CSM model</w:t>
      </w:r>
      <w:r w:rsidR="00C4502D">
        <w:t xml:space="preserve"> in</w:t>
      </w:r>
      <w:r w:rsidR="00C54747">
        <w:t xml:space="preserve"> Section </w:t>
      </w:r>
      <w:r>
        <w:fldChar w:fldCharType="begin"/>
      </w:r>
      <w:r>
        <w:instrText xml:space="preserve"> REF _Ref209439258 \r \h </w:instrText>
      </w:r>
      <w:r>
        <w:fldChar w:fldCharType="separate"/>
      </w:r>
      <w:r w:rsidR="001C0481">
        <w:t>5.3.1</w:t>
      </w:r>
      <w:r>
        <w:fldChar w:fldCharType="end"/>
      </w:r>
      <w:r w:rsidR="00912350">
        <w:t>.</w:t>
      </w:r>
    </w:p>
    <w:p w14:paraId="11A328D1" w14:textId="35963A2F" w:rsidR="00BD4FD3" w:rsidRDefault="00BD4FD3" w:rsidP="00F00CA7">
      <w:pPr>
        <w:pStyle w:val="Heading3"/>
      </w:pPr>
      <w:bookmarkStart w:id="45" w:name="_Toc215653656"/>
      <w:bookmarkStart w:id="46" w:name="_Toc220407015"/>
      <w:bookmarkStart w:id="47" w:name="_Ref209017981"/>
      <w:r>
        <w:t>Pathway changes over time</w:t>
      </w:r>
      <w:bookmarkEnd w:id="45"/>
      <w:bookmarkEnd w:id="46"/>
    </w:p>
    <w:p w14:paraId="4153F847" w14:textId="0B65D73B" w:rsidR="00225493" w:rsidRPr="00225493" w:rsidRDefault="2C1BEB5F" w:rsidP="005F580C">
      <w:r>
        <w:t>The pathways for</w:t>
      </w:r>
      <w:r w:rsidR="2F90204B">
        <w:t xml:space="preserve"> sources/ hazards to reach the receptors may also change over time, </w:t>
      </w:r>
      <w:r w:rsidR="354255C8">
        <w:t xml:space="preserve">particularly with the </w:t>
      </w:r>
      <w:r w:rsidR="37604C5E">
        <w:t>long-time</w:t>
      </w:r>
      <w:r w:rsidR="354255C8">
        <w:t xml:space="preserve"> frames involved in </w:t>
      </w:r>
      <w:r w:rsidR="006148B5">
        <w:t>post closure</w:t>
      </w:r>
      <w:r w:rsidR="68C2405B">
        <w:t>. When identifying risks</w:t>
      </w:r>
      <w:r w:rsidR="37604C5E">
        <w:t>,</w:t>
      </w:r>
      <w:r w:rsidR="68C2405B">
        <w:t xml:space="preserve"> </w:t>
      </w:r>
      <w:r w:rsidR="354255C8">
        <w:t xml:space="preserve">potential </w:t>
      </w:r>
      <w:r w:rsidR="6FAD8AC9">
        <w:t>changes to pathways need to be considered individually</w:t>
      </w:r>
      <w:r w:rsidR="37604C5E">
        <w:t xml:space="preserve">. A </w:t>
      </w:r>
      <w:r w:rsidR="1F9A1806">
        <w:t>non-exhaustive</w:t>
      </w:r>
      <w:r w:rsidR="37604C5E">
        <w:t xml:space="preserve"> list of examples </w:t>
      </w:r>
      <w:r w:rsidR="6C863402">
        <w:t>is</w:t>
      </w:r>
      <w:r w:rsidR="37604C5E">
        <w:t xml:space="preserve"> presented </w:t>
      </w:r>
      <w:proofErr w:type="gramStart"/>
      <w:r w:rsidR="37604C5E">
        <w:t>below</w:t>
      </w:r>
      <w:r w:rsidR="3D2FB8FD">
        <w:t>;</w:t>
      </w:r>
      <w:proofErr w:type="gramEnd"/>
      <w:r w:rsidR="35EABC50">
        <w:t xml:space="preserve"> </w:t>
      </w:r>
      <w:r>
        <w:t xml:space="preserve"> </w:t>
      </w:r>
    </w:p>
    <w:p w14:paraId="7A9EF8E9" w14:textId="2C6497E7" w:rsidR="00BD4FD3" w:rsidRDefault="005F580C" w:rsidP="00B8590A">
      <w:pPr>
        <w:pStyle w:val="ListParagraph"/>
        <w:numPr>
          <w:ilvl w:val="0"/>
          <w:numId w:val="15"/>
        </w:numPr>
      </w:pPr>
      <w:r>
        <w:t>g</w:t>
      </w:r>
      <w:r w:rsidR="00BA242C">
        <w:t xml:space="preserve">roundwater flow direction once pit </w:t>
      </w:r>
      <w:r w:rsidR="00BC2ADC">
        <w:t xml:space="preserve">lake </w:t>
      </w:r>
      <w:r w:rsidR="00BA242C">
        <w:t>level</w:t>
      </w:r>
      <w:r w:rsidR="00BC2ADC">
        <w:t>s</w:t>
      </w:r>
      <w:r w:rsidR="00BA242C">
        <w:t xml:space="preserve"> </w:t>
      </w:r>
      <w:r w:rsidR="00406674">
        <w:t>stabilise</w:t>
      </w:r>
    </w:p>
    <w:p w14:paraId="49B5A57F" w14:textId="66B540DF" w:rsidR="00AD7888" w:rsidRDefault="005F580C" w:rsidP="00B8590A">
      <w:pPr>
        <w:pStyle w:val="ListParagraph"/>
        <w:numPr>
          <w:ilvl w:val="0"/>
          <w:numId w:val="15"/>
        </w:numPr>
      </w:pPr>
      <w:r>
        <w:t>s</w:t>
      </w:r>
      <w:r w:rsidR="007E1EB8">
        <w:t>ubsidence from groundwater extraction, reversing to rebound</w:t>
      </w:r>
    </w:p>
    <w:p w14:paraId="5C444682" w14:textId="52869855" w:rsidR="00406674" w:rsidRDefault="00406674" w:rsidP="00B8590A">
      <w:pPr>
        <w:pStyle w:val="ListParagraph"/>
        <w:numPr>
          <w:ilvl w:val="0"/>
          <w:numId w:val="15"/>
        </w:numPr>
      </w:pPr>
      <w:r>
        <w:t>old “dry” bores</w:t>
      </w:r>
      <w:r w:rsidR="0003380C">
        <w:t xml:space="preserve"> that become productive again</w:t>
      </w:r>
    </w:p>
    <w:p w14:paraId="4797CC52" w14:textId="34E3F94C" w:rsidR="00585074" w:rsidRDefault="005F580C" w:rsidP="00B8590A">
      <w:pPr>
        <w:pStyle w:val="ListParagraph"/>
        <w:numPr>
          <w:ilvl w:val="0"/>
          <w:numId w:val="15"/>
        </w:numPr>
      </w:pPr>
      <w:r>
        <w:t>h</w:t>
      </w:r>
      <w:r w:rsidR="00585074">
        <w:t>ydrology and flooding levels/paths</w:t>
      </w:r>
    </w:p>
    <w:p w14:paraId="3324E2D0" w14:textId="685EC6A5" w:rsidR="005046DE" w:rsidRDefault="00106873" w:rsidP="00F00CA7">
      <w:pPr>
        <w:pStyle w:val="Heading3"/>
      </w:pPr>
      <w:bookmarkStart w:id="48" w:name="_Toc215653657"/>
      <w:bookmarkStart w:id="49" w:name="_Toc220407016"/>
      <w:r>
        <w:t>Chang</w:t>
      </w:r>
      <w:r w:rsidR="00127920">
        <w:t>ing</w:t>
      </w:r>
      <w:r>
        <w:t xml:space="preserve"> </w:t>
      </w:r>
      <w:r w:rsidR="00025F1E">
        <w:t>S</w:t>
      </w:r>
      <w:r w:rsidR="005046DE">
        <w:t>ensitive receptors</w:t>
      </w:r>
      <w:bookmarkEnd w:id="47"/>
      <w:bookmarkEnd w:id="48"/>
      <w:bookmarkEnd w:id="49"/>
    </w:p>
    <w:p w14:paraId="40FACA41" w14:textId="00A9AB6D" w:rsidR="005046DE" w:rsidRDefault="005B74B9" w:rsidP="007754D0">
      <w:r>
        <w:t xml:space="preserve">In addition to changing the physical attributes of the land, land </w:t>
      </w:r>
      <w:r w:rsidR="41AE0E49">
        <w:t xml:space="preserve">use </w:t>
      </w:r>
      <w:r>
        <w:t>will</w:t>
      </w:r>
      <w:r w:rsidR="00E04D08">
        <w:t xml:space="preserve"> </w:t>
      </w:r>
      <w:r w:rsidR="13E54D1C">
        <w:t xml:space="preserve">also </w:t>
      </w:r>
      <w:r w:rsidR="00E04D08">
        <w:t xml:space="preserve">change </w:t>
      </w:r>
      <w:r w:rsidR="00674E9C">
        <w:t>in</w:t>
      </w:r>
      <w:r>
        <w:t xml:space="preserve"> the </w:t>
      </w:r>
      <w:r w:rsidR="006148B5">
        <w:t>post closure</w:t>
      </w:r>
      <w:r>
        <w:t xml:space="preserve"> phase. It is possible for the final landform to support multiple end land uses. </w:t>
      </w:r>
      <w:r w:rsidR="005046DE">
        <w:t xml:space="preserve"> New land uses </w:t>
      </w:r>
      <w:r w:rsidR="0008305F">
        <w:t xml:space="preserve">both on and off </w:t>
      </w:r>
      <w:r w:rsidR="005A544C">
        <w:t>licence</w:t>
      </w:r>
      <w:r w:rsidR="00F60C11">
        <w:t xml:space="preserve"> </w:t>
      </w:r>
      <w:r w:rsidR="005046DE">
        <w:t xml:space="preserve">can </w:t>
      </w:r>
      <w:r>
        <w:t xml:space="preserve">result in an </w:t>
      </w:r>
      <w:r w:rsidR="005046DE">
        <w:t>alter</w:t>
      </w:r>
      <w:r>
        <w:t xml:space="preserve">ation to </w:t>
      </w:r>
      <w:r w:rsidR="005046DE">
        <w:t xml:space="preserve">the proximity, type and number of receptors </w:t>
      </w:r>
      <w:r w:rsidR="00F603C5">
        <w:t xml:space="preserve">that could be </w:t>
      </w:r>
      <w:r w:rsidR="00F603C5">
        <w:lastRenderedPageBreak/>
        <w:t>impacted by the final landform</w:t>
      </w:r>
      <w:r w:rsidR="005046DE">
        <w:t>.</w:t>
      </w:r>
      <w:r w:rsidR="00203197">
        <w:t xml:space="preserve"> </w:t>
      </w:r>
      <w:r w:rsidR="005046DE">
        <w:t xml:space="preserve">With the introduction of new or changing receptors, </w:t>
      </w:r>
      <w:r w:rsidR="00C67B44">
        <w:t xml:space="preserve">there may be </w:t>
      </w:r>
      <w:r w:rsidR="005046DE">
        <w:t>change</w:t>
      </w:r>
      <w:r w:rsidR="0DAD2CA9">
        <w:t>s</w:t>
      </w:r>
      <w:r w:rsidR="005046DE">
        <w:t xml:space="preserve"> in exposure likelihood and / or </w:t>
      </w:r>
      <w:r w:rsidR="105F4BA9">
        <w:t xml:space="preserve">the </w:t>
      </w:r>
      <w:r w:rsidR="005046DE">
        <w:t xml:space="preserve">introduction of new exposure pathways and </w:t>
      </w:r>
      <w:r w:rsidR="00670D60">
        <w:t xml:space="preserve">therefore </w:t>
      </w:r>
      <w:r w:rsidR="005046DE">
        <w:t>risks</w:t>
      </w:r>
      <w:r w:rsidR="005A544C">
        <w:t>, both on and off licence</w:t>
      </w:r>
      <w:r w:rsidR="005046DE">
        <w:t>. For example</w:t>
      </w:r>
      <w:r w:rsidR="00904A18">
        <w:t>:</w:t>
      </w:r>
      <w:r w:rsidR="005046DE">
        <w:t xml:space="preserve"> </w:t>
      </w:r>
    </w:p>
    <w:p w14:paraId="750376EC" w14:textId="6F1B841D" w:rsidR="00A17A13" w:rsidRDefault="00A17A13" w:rsidP="00A17A13">
      <w:pPr>
        <w:pStyle w:val="ListParagraph"/>
        <w:numPr>
          <w:ilvl w:val="0"/>
          <w:numId w:val="7"/>
        </w:numPr>
      </w:pPr>
      <w:r>
        <w:t>if the mine void is transformed into a pit lake it becomes a new source / hazard, with proposed public access a recreational end land use becomes a new receptor introducing new risks such as the potential for drowning</w:t>
      </w:r>
      <w:r w:rsidR="00F76F04">
        <w:t xml:space="preserve">, and </w:t>
      </w:r>
    </w:p>
    <w:p w14:paraId="20C683A8" w14:textId="15F6861A" w:rsidR="00F76F04" w:rsidRDefault="00B16C12" w:rsidP="00F76F04">
      <w:pPr>
        <w:pStyle w:val="ListParagraph"/>
        <w:numPr>
          <w:ilvl w:val="0"/>
          <w:numId w:val="7"/>
        </w:numPr>
      </w:pPr>
      <w:r>
        <w:t>w</w:t>
      </w:r>
      <w:r w:rsidR="6144B484">
        <w:t xml:space="preserve">hilst during the operational phase the site may have limited impact on downstream water quality, the introduction of a full and interconnected pit lake as the rehabilitated landform poses a new hazard and is likely to create new exposure pathways. These could affect downstream water quality, positively or negatively interacting with new / changed receptors that had not previously been identified. These include downstream users as new receptors such as aquatic ecology. </w:t>
      </w:r>
    </w:p>
    <w:p w14:paraId="0DE95AAF" w14:textId="2AFF47F5" w:rsidR="00C23847" w:rsidRDefault="50D32E2A" w:rsidP="00F76F04">
      <w:r>
        <w:t>As a result</w:t>
      </w:r>
      <w:r w:rsidR="00F76F04">
        <w:t xml:space="preserve"> of changing land uses, both on and off licence</w:t>
      </w:r>
      <w:r>
        <w:t>, n</w:t>
      </w:r>
      <w:r w:rsidR="3EEDCF1D">
        <w:t xml:space="preserve">ew risks or different consequences to </w:t>
      </w:r>
      <w:r w:rsidR="279776D2">
        <w:t xml:space="preserve">sources/ </w:t>
      </w:r>
      <w:r w:rsidR="3EEDCF1D">
        <w:t xml:space="preserve">hazards, may be introduced during the </w:t>
      </w:r>
      <w:r w:rsidR="006148B5">
        <w:t>post closure</w:t>
      </w:r>
      <w:r w:rsidR="3EEDCF1D">
        <w:t xml:space="preserve"> phase</w:t>
      </w:r>
      <w:r w:rsidR="00AC72A4">
        <w:t>. R</w:t>
      </w:r>
      <w:r w:rsidR="3EEDCF1D">
        <w:t xml:space="preserve">isks once considered </w:t>
      </w:r>
      <w:r w:rsidR="25CFC5E7">
        <w:t xml:space="preserve">low or moderate </w:t>
      </w:r>
      <w:r w:rsidR="3EEDCF1D">
        <w:t>during operations and rehabilitation</w:t>
      </w:r>
      <w:r w:rsidR="279776D2">
        <w:t>,</w:t>
      </w:r>
      <w:r w:rsidR="16535A2A">
        <w:t xml:space="preserve"> </w:t>
      </w:r>
      <w:r w:rsidR="00DD5C26">
        <w:t>due to</w:t>
      </w:r>
      <w:r w:rsidR="3EEDCF1D">
        <w:t xml:space="preserve"> active control</w:t>
      </w:r>
      <w:r w:rsidR="00DD5C26">
        <w:t>s</w:t>
      </w:r>
      <w:r w:rsidR="3EEDCF1D">
        <w:t xml:space="preserve"> by the mine operator</w:t>
      </w:r>
      <w:r w:rsidR="279776D2">
        <w:t>,</w:t>
      </w:r>
      <w:r w:rsidR="4E929CB0">
        <w:t xml:space="preserve"> </w:t>
      </w:r>
      <w:r w:rsidR="3EEDCF1D">
        <w:t xml:space="preserve">may become high in a </w:t>
      </w:r>
      <w:r w:rsidR="006148B5">
        <w:t>post closure</w:t>
      </w:r>
      <w:r w:rsidR="3EEDCF1D">
        <w:t xml:space="preserve"> context. </w:t>
      </w:r>
    </w:p>
    <w:p w14:paraId="5A850473" w14:textId="3E807A44" w:rsidR="00106C82" w:rsidRDefault="5CAD0CBE" w:rsidP="005046DE">
      <w:r>
        <w:t>I</w:t>
      </w:r>
      <w:r w:rsidR="005046DE">
        <w:t xml:space="preserve">t is </w:t>
      </w:r>
      <w:r w:rsidR="2F8C6319">
        <w:t xml:space="preserve">therefore </w:t>
      </w:r>
      <w:r w:rsidR="005046DE">
        <w:t>important</w:t>
      </w:r>
      <w:r w:rsidR="006121AA">
        <w:t xml:space="preserve">, </w:t>
      </w:r>
      <w:r w:rsidR="001B58A8">
        <w:t xml:space="preserve">that </w:t>
      </w:r>
      <w:r w:rsidR="006121AA">
        <w:t>the fir</w:t>
      </w:r>
      <w:r w:rsidR="00F51700">
        <w:t>s</w:t>
      </w:r>
      <w:r w:rsidR="006121AA">
        <w:t xml:space="preserve">t post closure risk assessment </w:t>
      </w:r>
      <w:r w:rsidR="001B58A8">
        <w:t>considers</w:t>
      </w:r>
      <w:r w:rsidR="006121AA">
        <w:t xml:space="preserve"> the range </w:t>
      </w:r>
      <w:r w:rsidR="00F51700">
        <w:t xml:space="preserve">of </w:t>
      </w:r>
      <w:r w:rsidR="0082675D">
        <w:t xml:space="preserve">potential </w:t>
      </w:r>
      <w:r w:rsidR="00F51700">
        <w:t xml:space="preserve">land uses </w:t>
      </w:r>
      <w:r w:rsidR="00152DA3">
        <w:t xml:space="preserve">within </w:t>
      </w:r>
      <w:r w:rsidR="00F51700">
        <w:t xml:space="preserve">different </w:t>
      </w:r>
      <w:r w:rsidR="005507D7">
        <w:t xml:space="preserve">parts </w:t>
      </w:r>
      <w:r w:rsidR="00F51700">
        <w:t>of the licence</w:t>
      </w:r>
      <w:r w:rsidR="005507D7">
        <w:t xml:space="preserve"> area</w:t>
      </w:r>
      <w:r w:rsidR="00F51700">
        <w:t>, and</w:t>
      </w:r>
      <w:r w:rsidR="009D7A9B">
        <w:t xml:space="preserve"> </w:t>
      </w:r>
      <w:r w:rsidR="00A36403">
        <w:t xml:space="preserve">the current </w:t>
      </w:r>
      <w:r w:rsidR="009D7A9B">
        <w:t>adjacent land uses</w:t>
      </w:r>
      <w:r w:rsidR="00A36403">
        <w:t xml:space="preserve"> as well as current</w:t>
      </w:r>
      <w:r w:rsidR="00F51700">
        <w:t xml:space="preserve"> </w:t>
      </w:r>
      <w:r w:rsidR="00A36403">
        <w:t xml:space="preserve">off </w:t>
      </w:r>
      <w:r w:rsidR="004A3862">
        <w:t xml:space="preserve">licence </w:t>
      </w:r>
      <w:r w:rsidR="00F51700">
        <w:t>sensitive receptors</w:t>
      </w:r>
      <w:r w:rsidR="008B6A5C">
        <w:t xml:space="preserve"> and assess the risks </w:t>
      </w:r>
      <w:r w:rsidR="008D7194">
        <w:t>in the context of</w:t>
      </w:r>
      <w:r w:rsidR="00106C82">
        <w:t xml:space="preserve"> the new landforms and new receptors</w:t>
      </w:r>
      <w:r w:rsidR="00212BD8">
        <w:t>.</w:t>
      </w:r>
    </w:p>
    <w:p w14:paraId="43D06AD4" w14:textId="7C7512B3" w:rsidR="004A7BA4" w:rsidRDefault="00A36403" w:rsidP="005046DE">
      <w:r>
        <w:t xml:space="preserve">It is </w:t>
      </w:r>
      <w:r w:rsidR="005B2FCE">
        <w:t>key that</w:t>
      </w:r>
      <w:r w:rsidR="004A7BA4">
        <w:t>,</w:t>
      </w:r>
      <w:r w:rsidR="005B2FCE">
        <w:t xml:space="preserve"> as knowledge develops for the</w:t>
      </w:r>
      <w:r w:rsidR="00106C82">
        <w:t xml:space="preserve"> rehabilitation of the mine licence, and the</w:t>
      </w:r>
      <w:r w:rsidR="005B2FCE">
        <w:t xml:space="preserve"> surrounding land uses and sensitive receptors change,</w:t>
      </w:r>
      <w:r w:rsidR="005046DE">
        <w:t xml:space="preserve"> </w:t>
      </w:r>
      <w:r w:rsidR="006148B5">
        <w:t>post closure</w:t>
      </w:r>
      <w:r w:rsidR="00181C77">
        <w:t xml:space="preserve"> </w:t>
      </w:r>
      <w:r w:rsidR="005046DE">
        <w:t xml:space="preserve">risk assessments </w:t>
      </w:r>
      <w:r w:rsidR="00106C82">
        <w:t xml:space="preserve">are updated and </w:t>
      </w:r>
      <w:r w:rsidR="005046DE">
        <w:t>re-</w:t>
      </w:r>
      <w:r w:rsidR="00F9203F">
        <w:t>assessed</w:t>
      </w:r>
      <w:r w:rsidR="00212BD8">
        <w:t>.</w:t>
      </w:r>
      <w:r w:rsidR="00F9203F">
        <w:t xml:space="preserve"> </w:t>
      </w:r>
    </w:p>
    <w:p w14:paraId="660FEB5B" w14:textId="55285BF1" w:rsidR="005B72F5" w:rsidRDefault="00846ADF" w:rsidP="005046DE">
      <w:r>
        <w:t>U</w:t>
      </w:r>
      <w:r w:rsidR="005046DE">
        <w:t xml:space="preserve">ndertaking a standalone risk assessment </w:t>
      </w:r>
      <w:r w:rsidR="312CFC62">
        <w:t xml:space="preserve">for </w:t>
      </w:r>
      <w:r w:rsidR="005046DE">
        <w:t xml:space="preserve">the </w:t>
      </w:r>
      <w:r w:rsidR="006148B5">
        <w:t>post closure</w:t>
      </w:r>
      <w:r w:rsidR="005046DE">
        <w:t xml:space="preserve"> phase ensures that the assessment is tailored to the </w:t>
      </w:r>
      <w:r w:rsidR="48EC267E">
        <w:t xml:space="preserve">specific </w:t>
      </w:r>
      <w:r w:rsidR="005046DE">
        <w:t>post-mining land use</w:t>
      </w:r>
      <w:r w:rsidR="10D10A39">
        <w:t>s</w:t>
      </w:r>
      <w:r w:rsidR="00BD11C6">
        <w:t xml:space="preserve"> </w:t>
      </w:r>
      <w:r w:rsidR="003A595F">
        <w:t>and changing</w:t>
      </w:r>
      <w:r w:rsidR="005046DE">
        <w:t xml:space="preserve"> </w:t>
      </w:r>
      <w:r w:rsidR="006B03F0">
        <w:t>receptors</w:t>
      </w:r>
      <w:r w:rsidR="005046DE">
        <w:t xml:space="preserve">. </w:t>
      </w:r>
    </w:p>
    <w:p w14:paraId="25C4CD03" w14:textId="4FCAF95E" w:rsidR="00FB0853" w:rsidRDefault="00565013" w:rsidP="00F00CA7">
      <w:pPr>
        <w:pStyle w:val="Heading3"/>
      </w:pPr>
      <w:bookmarkStart w:id="50" w:name="_Toc215653658"/>
      <w:bookmarkStart w:id="51" w:name="_Toc220407017"/>
      <w:r>
        <w:t>Changes to the landform over time</w:t>
      </w:r>
      <w:bookmarkEnd w:id="50"/>
      <w:bookmarkEnd w:id="51"/>
    </w:p>
    <w:p w14:paraId="1742A19C" w14:textId="77777777" w:rsidR="005F334C" w:rsidRDefault="00FB0853" w:rsidP="00FB0853">
      <w:r>
        <w:t>Whil</w:t>
      </w:r>
      <w:r w:rsidR="063388E2">
        <w:t>e</w:t>
      </w:r>
      <w:r>
        <w:t xml:space="preserve"> </w:t>
      </w:r>
      <w:r w:rsidR="00E3635E">
        <w:t xml:space="preserve">landforms are </w:t>
      </w:r>
      <w:r>
        <w:t xml:space="preserve">designed to achieve certain closure objectives </w:t>
      </w:r>
      <w:r w:rsidR="4332846F">
        <w:t>and</w:t>
      </w:r>
      <w:r>
        <w:t xml:space="preserve"> criteria, </w:t>
      </w:r>
      <w:r w:rsidRPr="00F93F29">
        <w:t xml:space="preserve">there may </w:t>
      </w:r>
      <w:r w:rsidR="0008646E">
        <w:t xml:space="preserve">also </w:t>
      </w:r>
      <w:r w:rsidRPr="00F93F29">
        <w:t>be ongoing requirements to monitor aspects of the site and manage engineered structures to ensure they continue to meet their design function</w:t>
      </w:r>
      <w:r w:rsidR="00C8128A">
        <w:t xml:space="preserve"> and design life</w:t>
      </w:r>
      <w:r w:rsidRPr="00F93F29">
        <w:t>.</w:t>
      </w:r>
      <w:r>
        <w:t xml:space="preserve"> </w:t>
      </w:r>
      <w:r w:rsidRPr="00F93F29">
        <w:t>There may also be a need to rectify any subsequent failures of rehabilitation that occur after the surrender was approved</w:t>
      </w:r>
      <w:r>
        <w:t xml:space="preserve">, noting </w:t>
      </w:r>
      <w:r w:rsidR="0008646E">
        <w:t xml:space="preserve">where </w:t>
      </w:r>
      <w:r>
        <w:t>it is difficult</w:t>
      </w:r>
      <w:r w:rsidR="00EE0303">
        <w:t>,</w:t>
      </w:r>
      <w:r w:rsidR="625E846A">
        <w:t xml:space="preserve"> </w:t>
      </w:r>
      <w:r>
        <w:t>and in some cases</w:t>
      </w:r>
      <w:r w:rsidR="0A2AFFF3">
        <w:t xml:space="preserve"> impossible</w:t>
      </w:r>
      <w:r w:rsidR="00EE0303">
        <w:t>,</w:t>
      </w:r>
      <w:r>
        <w:t xml:space="preserve"> to eliminate the risk of rehabilitation failure</w:t>
      </w:r>
      <w:r>
        <w:rPr>
          <w:rStyle w:val="FootnoteReference"/>
        </w:rPr>
        <w:footnoteReference w:id="32"/>
      </w:r>
      <w:r>
        <w:t xml:space="preserve">. </w:t>
      </w:r>
    </w:p>
    <w:p w14:paraId="09F9B167" w14:textId="3B26391D" w:rsidR="00FB0853" w:rsidRDefault="00DC5569" w:rsidP="00FB0853">
      <w:r>
        <w:t>The final landform should be designed using a risk-based approach</w:t>
      </w:r>
      <w:r w:rsidR="00A6585A">
        <w:t xml:space="preserve">. The </w:t>
      </w:r>
      <w:r w:rsidR="00B368F2">
        <w:t>risk-based</w:t>
      </w:r>
      <w:r w:rsidR="00A6585A">
        <w:t xml:space="preserve"> approach </w:t>
      </w:r>
      <w:r w:rsidR="00B368F2">
        <w:t>may require</w:t>
      </w:r>
      <w:r w:rsidR="00A6585A">
        <w:t xml:space="preserve"> a</w:t>
      </w:r>
      <w:r w:rsidR="00CD2301">
        <w:t xml:space="preserve"> </w:t>
      </w:r>
      <w:r w:rsidR="00CB4E3A">
        <w:t xml:space="preserve">detailed / focused </w:t>
      </w:r>
      <w:r w:rsidR="006D317C">
        <w:t>risk assessment</w:t>
      </w:r>
      <w:r w:rsidR="00832878">
        <w:t xml:space="preserve"> to</w:t>
      </w:r>
      <w:r w:rsidR="00CD2301">
        <w:t xml:space="preserve"> </w:t>
      </w:r>
      <w:r w:rsidR="00C503AF">
        <w:t xml:space="preserve">understand </w:t>
      </w:r>
      <w:r w:rsidR="00CD2301">
        <w:t xml:space="preserve">the </w:t>
      </w:r>
      <w:r w:rsidR="00A6585A">
        <w:t xml:space="preserve">key aspects of the </w:t>
      </w:r>
      <w:r w:rsidR="00F3042A">
        <w:t>design</w:t>
      </w:r>
      <w:r>
        <w:t>. The design life, design loads and events should be aligned with the level of risks identified</w:t>
      </w:r>
      <w:r w:rsidR="005F334C">
        <w:t>. This includes the structures and controls required to ensure the continued functionality of the landform. Decisions made on the design life</w:t>
      </w:r>
      <w:r w:rsidR="00830334" w:rsidRPr="00830334">
        <w:t xml:space="preserve"> </w:t>
      </w:r>
      <w:r w:rsidR="00C62EE8">
        <w:t>serviceability</w:t>
      </w:r>
      <w:r w:rsidR="00830334">
        <w:t>, design events and loads</w:t>
      </w:r>
      <w:r w:rsidR="005F334C">
        <w:t xml:space="preserve"> of the final landform should be provided and justified within the DMRP and relevant design reports.   </w:t>
      </w:r>
    </w:p>
    <w:p w14:paraId="2857E150" w14:textId="119E28A6" w:rsidR="007F72A8" w:rsidRDefault="006148B5" w:rsidP="003E616C">
      <w:r>
        <w:t>Post closure</w:t>
      </w:r>
      <w:r w:rsidR="003E616C">
        <w:t xml:space="preserve"> risk assessment should consider </w:t>
      </w:r>
      <w:r w:rsidR="0054174D">
        <w:t xml:space="preserve">and assess </w:t>
      </w:r>
      <w:r w:rsidR="003E616C">
        <w:t xml:space="preserve">the </w:t>
      </w:r>
      <w:r w:rsidR="00351CE5">
        <w:t xml:space="preserve">changes and </w:t>
      </w:r>
      <w:r w:rsidR="00FB0853">
        <w:t>fail</w:t>
      </w:r>
      <w:r w:rsidR="003E616C">
        <w:t>ure</w:t>
      </w:r>
      <w:r w:rsidR="00C17CC8">
        <w:t xml:space="preserve"> </w:t>
      </w:r>
      <w:r w:rsidR="003E616C">
        <w:t>of rehabilitated landforms</w:t>
      </w:r>
      <w:r w:rsidR="00F54558">
        <w:t xml:space="preserve"> over time</w:t>
      </w:r>
      <w:r w:rsidR="00FB0853">
        <w:t xml:space="preserve">. Landforms may </w:t>
      </w:r>
      <w:r w:rsidR="0604CED0">
        <w:t xml:space="preserve">be affected by </w:t>
      </w:r>
      <w:r w:rsidR="007F72A8">
        <w:t xml:space="preserve">both foreseen and unforeseen events </w:t>
      </w:r>
      <w:r w:rsidR="7CDAD7D6">
        <w:t xml:space="preserve">arising from </w:t>
      </w:r>
      <w:r w:rsidR="354B402B">
        <w:t>several</w:t>
      </w:r>
      <w:r w:rsidR="00FB0853">
        <w:t xml:space="preserve"> factors, </w:t>
      </w:r>
      <w:r w:rsidR="3CEC2FCF">
        <w:t>including</w:t>
      </w:r>
      <w:r w:rsidR="00C62270">
        <w:t xml:space="preserve"> but not limited to</w:t>
      </w:r>
      <w:r w:rsidR="007F72A8">
        <w:t>:</w:t>
      </w:r>
    </w:p>
    <w:p w14:paraId="542D2812" w14:textId="11014631" w:rsidR="007F72A8" w:rsidRDefault="00FB0853" w:rsidP="00904A18">
      <w:pPr>
        <w:pStyle w:val="ListParagraph"/>
        <w:numPr>
          <w:ilvl w:val="0"/>
          <w:numId w:val="22"/>
        </w:numPr>
      </w:pPr>
      <w:r>
        <w:t xml:space="preserve">major floods </w:t>
      </w:r>
    </w:p>
    <w:p w14:paraId="4F37B78D" w14:textId="78EE820A" w:rsidR="007F72A8" w:rsidRDefault="00FB0853" w:rsidP="00904A18">
      <w:pPr>
        <w:pStyle w:val="ListParagraph"/>
        <w:numPr>
          <w:ilvl w:val="0"/>
          <w:numId w:val="22"/>
        </w:numPr>
      </w:pPr>
      <w:r>
        <w:t xml:space="preserve">erosion </w:t>
      </w:r>
    </w:p>
    <w:p w14:paraId="376004DD" w14:textId="70FFBB55" w:rsidR="007F72A8" w:rsidRDefault="000B1272" w:rsidP="00904A18">
      <w:pPr>
        <w:pStyle w:val="ListParagraph"/>
        <w:numPr>
          <w:ilvl w:val="0"/>
          <w:numId w:val="22"/>
        </w:numPr>
      </w:pPr>
      <w:r>
        <w:t xml:space="preserve">fire </w:t>
      </w:r>
    </w:p>
    <w:p w14:paraId="67E5509E" w14:textId="2977476C" w:rsidR="009067D5" w:rsidRDefault="009067D5" w:rsidP="00904A18">
      <w:pPr>
        <w:pStyle w:val="ListParagraph"/>
        <w:numPr>
          <w:ilvl w:val="0"/>
          <w:numId w:val="22"/>
        </w:numPr>
      </w:pPr>
      <w:r>
        <w:t xml:space="preserve">earthquakes </w:t>
      </w:r>
    </w:p>
    <w:p w14:paraId="18CC55B1" w14:textId="7ECF0AFC" w:rsidR="007F72A8" w:rsidRDefault="00FB0853" w:rsidP="00904A18">
      <w:pPr>
        <w:pStyle w:val="ListParagraph"/>
        <w:numPr>
          <w:ilvl w:val="0"/>
          <w:numId w:val="22"/>
        </w:numPr>
      </w:pPr>
      <w:r>
        <w:t xml:space="preserve">increasing concentrations of contaminants in water bodies </w:t>
      </w:r>
    </w:p>
    <w:p w14:paraId="0ACF5D89" w14:textId="4CFD99A8" w:rsidR="007F72A8" w:rsidRDefault="00FB0853" w:rsidP="00904A18">
      <w:pPr>
        <w:pStyle w:val="ListParagraph"/>
        <w:numPr>
          <w:ilvl w:val="0"/>
          <w:numId w:val="22"/>
        </w:numPr>
      </w:pPr>
      <w:r>
        <w:lastRenderedPageBreak/>
        <w:t xml:space="preserve">loss of vegetation </w:t>
      </w:r>
      <w:r w:rsidR="002B4D19">
        <w:t xml:space="preserve">and </w:t>
      </w:r>
      <w:r>
        <w:t xml:space="preserve">failure of cover systems </w:t>
      </w:r>
    </w:p>
    <w:p w14:paraId="5AFB3B70" w14:textId="37FC9A99" w:rsidR="007F72A8" w:rsidRDefault="00FB0853" w:rsidP="00904A18">
      <w:pPr>
        <w:pStyle w:val="ListParagraph"/>
        <w:numPr>
          <w:ilvl w:val="0"/>
          <w:numId w:val="22"/>
        </w:numPr>
      </w:pPr>
      <w:r>
        <w:t>instability events</w:t>
      </w:r>
      <w:r w:rsidR="00E4410D">
        <w:t xml:space="preserve"> </w:t>
      </w:r>
    </w:p>
    <w:p w14:paraId="1D05EC6E" w14:textId="70C3ADE1" w:rsidR="007F72A8" w:rsidRDefault="00E4410D" w:rsidP="00904A18">
      <w:pPr>
        <w:pStyle w:val="ListParagraph"/>
        <w:numPr>
          <w:ilvl w:val="0"/>
          <w:numId w:val="22"/>
        </w:numPr>
      </w:pPr>
      <w:r>
        <w:t>other natural</w:t>
      </w:r>
      <w:r w:rsidR="002B4D19">
        <w:t xml:space="preserve"> or </w:t>
      </w:r>
      <w:r w:rsidR="000121B8">
        <w:t>human</w:t>
      </w:r>
      <w:r>
        <w:t xml:space="preserve"> processes</w:t>
      </w:r>
      <w:r w:rsidR="007F72A8">
        <w:t xml:space="preserve"> </w:t>
      </w:r>
    </w:p>
    <w:p w14:paraId="0240B6AA" w14:textId="6AD275EB" w:rsidR="008A1525" w:rsidRDefault="31172A17" w:rsidP="008A1525">
      <w:r>
        <w:t xml:space="preserve">Risks remaining at the point of </w:t>
      </w:r>
      <w:r w:rsidR="00157F59">
        <w:t xml:space="preserve">licence </w:t>
      </w:r>
      <w:r>
        <w:t xml:space="preserve">surrender may not necessarily reflect all the risks relevant throughout the </w:t>
      </w:r>
      <w:r w:rsidR="006148B5">
        <w:t>post closure</w:t>
      </w:r>
      <w:r>
        <w:t xml:space="preserve"> period. For example:</w:t>
      </w:r>
    </w:p>
    <w:p w14:paraId="07AC5A13" w14:textId="1A5DED06" w:rsidR="008A1525" w:rsidRPr="007754D0" w:rsidRDefault="02B73D48" w:rsidP="008A1525">
      <w:pPr>
        <w:pStyle w:val="ListParagraph"/>
        <w:numPr>
          <w:ilvl w:val="0"/>
          <w:numId w:val="22"/>
        </w:numPr>
      </w:pPr>
      <w:r>
        <w:t xml:space="preserve">building on the pit lake example in Section </w:t>
      </w:r>
      <w:r>
        <w:fldChar w:fldCharType="begin"/>
      </w:r>
      <w:r>
        <w:instrText xml:space="preserve"> REF _Ref209017981 \r \h  \* MERGEFORMAT </w:instrText>
      </w:r>
      <w:r>
        <w:fldChar w:fldCharType="separate"/>
      </w:r>
      <w:r w:rsidR="001C0481">
        <w:t>5.4.2</w:t>
      </w:r>
      <w:r>
        <w:fldChar w:fldCharType="end"/>
      </w:r>
      <w:r>
        <w:t xml:space="preserve">, it is likely that water quality will change over time. While it may be acceptable at the point of </w:t>
      </w:r>
      <w:r w:rsidR="40D959AE">
        <w:t xml:space="preserve">licence </w:t>
      </w:r>
      <w:r>
        <w:t xml:space="preserve">surrender, ongoing </w:t>
      </w:r>
      <w:proofErr w:type="spellStart"/>
      <w:r>
        <w:t>evapo</w:t>
      </w:r>
      <w:proofErr w:type="spellEnd"/>
      <w:r>
        <w:t xml:space="preserve">-concentration, bio-geochemical reactions, pit lake dynamics, variations in input water quality etc. may cause degradation in the long-term. Although not a risk at the point of </w:t>
      </w:r>
      <w:r w:rsidR="40D959AE">
        <w:t xml:space="preserve">licence </w:t>
      </w:r>
      <w:r>
        <w:t>surrender, additional mitigations may be needed to manage this over time.  Examples of mitigation measures may include provision of funds, resources and specific infrastructure.</w:t>
      </w:r>
    </w:p>
    <w:p w14:paraId="5C293D91" w14:textId="77777777" w:rsidR="00FB0853" w:rsidRDefault="00FB0853" w:rsidP="00FB0853">
      <w:pPr>
        <w:pStyle w:val="Heading3"/>
      </w:pPr>
      <w:bookmarkStart w:id="52" w:name="_Toc215653659"/>
      <w:bookmarkStart w:id="53" w:name="_Toc220407018"/>
      <w:r>
        <w:t>Climate change and exceedance events</w:t>
      </w:r>
      <w:bookmarkEnd w:id="52"/>
      <w:bookmarkEnd w:id="53"/>
    </w:p>
    <w:p w14:paraId="352BCCCD" w14:textId="37287060" w:rsidR="00FB0853" w:rsidRDefault="00FB0853" w:rsidP="00FB0853">
      <w:r>
        <w:t>Whil</w:t>
      </w:r>
      <w:r w:rsidR="5883D7C7">
        <w:t>e</w:t>
      </w:r>
      <w:r>
        <w:t xml:space="preserve"> closure designs typically account for a defined level of risk and / or design intent </w:t>
      </w:r>
      <w:r w:rsidR="6E9F91D1">
        <w:t>(</w:t>
      </w:r>
      <w:r>
        <w:t>e.g., 1% A</w:t>
      </w:r>
      <w:r w:rsidR="00FD6DFE">
        <w:t xml:space="preserve">nnual </w:t>
      </w:r>
      <w:r>
        <w:t>E</w:t>
      </w:r>
      <w:r w:rsidR="00FD6DFE">
        <w:t>xceedance Probability (EAP)</w:t>
      </w:r>
      <w:r w:rsidR="05330E6B">
        <w:t>)</w:t>
      </w:r>
      <w:r>
        <w:t xml:space="preserve">, given the long timescales of mine closure, it is not unexpected that events </w:t>
      </w:r>
      <w:r w:rsidR="37792C30">
        <w:t xml:space="preserve">may exceed </w:t>
      </w:r>
      <w:r>
        <w:t>the original design criteria. Furthermore, with climate change, c</w:t>
      </w:r>
      <w:r w:rsidRPr="004A296B">
        <w:t xml:space="preserve">onditions </w:t>
      </w:r>
      <w:r>
        <w:t xml:space="preserve">are </w:t>
      </w:r>
      <w:r w:rsidR="360D25A6">
        <w:t xml:space="preserve">projected </w:t>
      </w:r>
      <w:r>
        <w:t xml:space="preserve">to </w:t>
      </w:r>
      <w:r w:rsidRPr="004A296B">
        <w:t xml:space="preserve">become </w:t>
      </w:r>
      <w:r>
        <w:t xml:space="preserve">drier </w:t>
      </w:r>
      <w:r w:rsidRPr="004A296B">
        <w:t>than historically</w:t>
      </w:r>
      <w:r>
        <w:t xml:space="preserve"> </w:t>
      </w:r>
      <w:r w:rsidRPr="004A296B">
        <w:t xml:space="preserve">observed </w:t>
      </w:r>
      <w:r>
        <w:t>and</w:t>
      </w:r>
      <w:r w:rsidRPr="004A296B">
        <w:t xml:space="preserve"> subject to more extreme storm events</w:t>
      </w:r>
      <w:r>
        <w:rPr>
          <w:rStyle w:val="FootnoteReference"/>
        </w:rPr>
        <w:footnoteReference w:id="33"/>
      </w:r>
      <w:r>
        <w:t xml:space="preserve">. </w:t>
      </w:r>
    </w:p>
    <w:p w14:paraId="6C5CA83D" w14:textId="40EC30E5" w:rsidR="00FB0853" w:rsidRDefault="00FB0853" w:rsidP="00FB0853">
      <w:r>
        <w:t xml:space="preserve">As such, the </w:t>
      </w:r>
      <w:r w:rsidR="006148B5">
        <w:t>post closure</w:t>
      </w:r>
      <w:r>
        <w:t xml:space="preserve"> risk assessment </w:t>
      </w:r>
      <w:r w:rsidR="00872A80">
        <w:t xml:space="preserve">should </w:t>
      </w:r>
      <w:r>
        <w:t xml:space="preserve">consider and account for </w:t>
      </w:r>
      <w:r w:rsidR="0DAC37CD">
        <w:t xml:space="preserve">a </w:t>
      </w:r>
      <w:r>
        <w:t>changing climate,</w:t>
      </w:r>
      <w:r w:rsidR="000E7654">
        <w:t xml:space="preserve"> </w:t>
      </w:r>
      <w:r w:rsidR="00936C14">
        <w:t xml:space="preserve">including </w:t>
      </w:r>
      <w:r w:rsidR="70731A9F">
        <w:t xml:space="preserve">the potential for </w:t>
      </w:r>
      <w:r w:rsidR="04FD10DC">
        <w:t xml:space="preserve">events </w:t>
      </w:r>
      <w:r w:rsidR="00936C14">
        <w:t xml:space="preserve">larger than </w:t>
      </w:r>
      <w:r w:rsidR="1D927913">
        <w:t xml:space="preserve">those originally used in the </w:t>
      </w:r>
      <w:r w:rsidR="00A15B12">
        <w:t xml:space="preserve">operational </w:t>
      </w:r>
      <w:r w:rsidR="00936C14">
        <w:t>design</w:t>
      </w:r>
      <w:r w:rsidR="00A15B12">
        <w:t>s</w:t>
      </w:r>
      <w:r w:rsidR="003D00E0">
        <w:t xml:space="preserve">. This should be </w:t>
      </w:r>
      <w:r w:rsidR="004738A5">
        <w:t>incorporat</w:t>
      </w:r>
      <w:r w:rsidR="1C715E14">
        <w:t>ed</w:t>
      </w:r>
      <w:r w:rsidR="004738A5">
        <w:t xml:space="preserve"> into the risk assessment as </w:t>
      </w:r>
      <w:r w:rsidR="7CCCC9E3">
        <w:t xml:space="preserve">identified </w:t>
      </w:r>
      <w:r w:rsidR="004738A5">
        <w:t>hazards</w:t>
      </w:r>
      <w:r w:rsidR="65191F5B">
        <w:t xml:space="preserve">, </w:t>
      </w:r>
      <w:r w:rsidR="004738A5">
        <w:t xml:space="preserve">supported by </w:t>
      </w:r>
      <w:r>
        <w:t>climate</w:t>
      </w:r>
      <w:r w:rsidR="00936C14">
        <w:t xml:space="preserve"> and other relevant</w:t>
      </w:r>
      <w:r>
        <w:t xml:space="preserve"> modelling to inform the final landform design </w:t>
      </w:r>
      <w:r w:rsidR="36826DFB">
        <w:t xml:space="preserve">as well as </w:t>
      </w:r>
      <w:r>
        <w:t xml:space="preserve">the type and frequency of </w:t>
      </w:r>
      <w:r w:rsidR="003B0DE9">
        <w:t xml:space="preserve">management, maintenance and </w:t>
      </w:r>
      <w:r>
        <w:t xml:space="preserve">repair works that may be required </w:t>
      </w:r>
      <w:r w:rsidR="006148B5">
        <w:t>post closure</w:t>
      </w:r>
      <w:r>
        <w:t xml:space="preserve">. </w:t>
      </w:r>
    </w:p>
    <w:p w14:paraId="4F79F7C2" w14:textId="5C189003" w:rsidR="003C4D4F" w:rsidRDefault="003F28B5" w:rsidP="005B2046">
      <w:pPr>
        <w:pStyle w:val="Heading2"/>
      </w:pPr>
      <w:bookmarkStart w:id="54" w:name="_Ref209079043"/>
      <w:bookmarkStart w:id="55" w:name="_Toc215653660"/>
      <w:bookmarkStart w:id="56" w:name="_Toc220407019"/>
      <w:r>
        <w:t xml:space="preserve">Risk </w:t>
      </w:r>
      <w:r w:rsidR="003C4D4F">
        <w:t>analysis</w:t>
      </w:r>
      <w:r w:rsidR="0067134C">
        <w:t xml:space="preserve"> and evaluation</w:t>
      </w:r>
      <w:bookmarkEnd w:id="54"/>
      <w:bookmarkEnd w:id="55"/>
      <w:bookmarkEnd w:id="56"/>
    </w:p>
    <w:p w14:paraId="459A76F0" w14:textId="5561A7B9" w:rsidR="005B6422" w:rsidRDefault="005B6422" w:rsidP="2D1735F5">
      <w:r>
        <w:t xml:space="preserve">The risk analysis process </w:t>
      </w:r>
      <w:r w:rsidR="00CD2C66">
        <w:t>assesses</w:t>
      </w:r>
      <w:r>
        <w:t xml:space="preserve"> the </w:t>
      </w:r>
      <w:r w:rsidR="007648C0">
        <w:t xml:space="preserve">potential consequence and likelihood of </w:t>
      </w:r>
      <w:r w:rsidR="00F56386">
        <w:t>each risk event</w:t>
      </w:r>
      <w:r w:rsidR="00404B6F">
        <w:t xml:space="preserve">, with the combination of these two factors determining the </w:t>
      </w:r>
      <w:r w:rsidR="11807A7B">
        <w:t>overall</w:t>
      </w:r>
      <w:r w:rsidR="00BA78BF">
        <w:t xml:space="preserve"> level of risk</w:t>
      </w:r>
      <w:r w:rsidR="00F56386">
        <w:t>.</w:t>
      </w:r>
      <w:r w:rsidR="00BA78BF">
        <w:t xml:space="preserve"> </w:t>
      </w:r>
      <w:r w:rsidR="00A16BB4">
        <w:t xml:space="preserve">This </w:t>
      </w:r>
      <w:r w:rsidR="6F0E0E56">
        <w:t xml:space="preserve">allows risks to be </w:t>
      </w:r>
      <w:r w:rsidR="00D85480">
        <w:t>rank</w:t>
      </w:r>
      <w:r w:rsidR="7E02ABD6">
        <w:t>ed</w:t>
      </w:r>
      <w:r w:rsidR="00D85480">
        <w:t xml:space="preserve"> </w:t>
      </w:r>
      <w:r w:rsidR="00394F4B">
        <w:t>and prioritis</w:t>
      </w:r>
      <w:r w:rsidR="07885DEC">
        <w:t>ed</w:t>
      </w:r>
      <w:r w:rsidR="00394F4B">
        <w:t>.</w:t>
      </w:r>
      <w:r w:rsidR="00F56386">
        <w:t xml:space="preserve"> </w:t>
      </w:r>
      <w:r w:rsidR="004C0C98">
        <w:t xml:space="preserve">Some </w:t>
      </w:r>
      <w:r w:rsidR="3C229AA5">
        <w:t xml:space="preserve">that </w:t>
      </w:r>
      <w:r w:rsidR="004C0C98">
        <w:t xml:space="preserve">may be used to </w:t>
      </w:r>
      <w:r w:rsidR="2A5E26B1">
        <w:t xml:space="preserve">support this process </w:t>
      </w:r>
      <w:r w:rsidR="004C0C98">
        <w:t xml:space="preserve">are presented in Section </w:t>
      </w:r>
      <w:r>
        <w:fldChar w:fldCharType="begin"/>
      </w:r>
      <w:r>
        <w:instrText xml:space="preserve"> REF _Ref209517315 \r \h </w:instrText>
      </w:r>
      <w:r>
        <w:fldChar w:fldCharType="separate"/>
      </w:r>
      <w:r w:rsidR="001C0481">
        <w:t>6</w:t>
      </w:r>
      <w:r>
        <w:fldChar w:fldCharType="end"/>
      </w:r>
      <w:r w:rsidR="004C0C98">
        <w:t xml:space="preserve">. </w:t>
      </w:r>
    </w:p>
    <w:p w14:paraId="6F79621E" w14:textId="7F1FEC93" w:rsidR="00885A89" w:rsidRDefault="00365973" w:rsidP="004C7E04">
      <w:r>
        <w:t>T</w:t>
      </w:r>
      <w:r w:rsidR="00A42A4B">
        <w:t xml:space="preserve">o provide a </w:t>
      </w:r>
      <w:r w:rsidR="004C7E04">
        <w:t xml:space="preserve">reference point for the </w:t>
      </w:r>
      <w:r w:rsidR="006148B5">
        <w:t xml:space="preserve">post </w:t>
      </w:r>
      <w:r w:rsidR="004C7E04">
        <w:t xml:space="preserve">closure risk assessment, an inherent risk analysis should be undertaken based on the </w:t>
      </w:r>
      <w:r w:rsidR="00526892">
        <w:t>‘starting point</w:t>
      </w:r>
      <w:r>
        <w:t xml:space="preserve">’ described </w:t>
      </w:r>
      <w:r w:rsidR="00526892">
        <w:t xml:space="preserve">in </w:t>
      </w:r>
      <w:r w:rsidR="00C316C7">
        <w:t>Section</w:t>
      </w:r>
      <w:r w:rsidR="000D7A26">
        <w:t xml:space="preserve"> </w:t>
      </w:r>
      <w:r w:rsidR="000D7A26">
        <w:fldChar w:fldCharType="begin"/>
      </w:r>
      <w:r w:rsidR="000D7A26">
        <w:instrText xml:space="preserve"> REF _Ref216274979 \r \h </w:instrText>
      </w:r>
      <w:r w:rsidR="000D7A26">
        <w:fldChar w:fldCharType="separate"/>
      </w:r>
      <w:r w:rsidR="001C0481">
        <w:t>5.3</w:t>
      </w:r>
      <w:r w:rsidR="000D7A26">
        <w:fldChar w:fldCharType="end"/>
      </w:r>
      <w:r>
        <w:t xml:space="preserve">. </w:t>
      </w:r>
      <w:r w:rsidR="00395966">
        <w:t>This should be followed by a risk evaluation to determine whether the inherent risk level is acceptable, in</w:t>
      </w:r>
      <w:r w:rsidR="54DC035D">
        <w:t xml:space="preserve"> </w:t>
      </w:r>
      <w:r w:rsidR="00395966">
        <w:t xml:space="preserve">line with </w:t>
      </w:r>
      <w:r w:rsidR="3D4BA403">
        <w:t xml:space="preserve">the </w:t>
      </w:r>
      <w:r w:rsidR="00395966">
        <w:t>risk appetite</w:t>
      </w:r>
      <w:r w:rsidR="0074634B">
        <w:t xml:space="preserve"> </w:t>
      </w:r>
      <w:r w:rsidR="5CB54B18">
        <w:t>and</w:t>
      </w:r>
      <w:r w:rsidR="0074634B">
        <w:t xml:space="preserve"> tolerances</w:t>
      </w:r>
      <w:r w:rsidR="00395966">
        <w:t xml:space="preserve"> described in Section</w:t>
      </w:r>
      <w:r w:rsidR="00A87D0E">
        <w:t xml:space="preserve"> </w:t>
      </w:r>
      <w:r w:rsidR="00A87D0E">
        <w:fldChar w:fldCharType="begin"/>
      </w:r>
      <w:r w:rsidR="00A87D0E">
        <w:instrText xml:space="preserve"> REF _Ref216274813 \r \h </w:instrText>
      </w:r>
      <w:r w:rsidR="00A87D0E">
        <w:fldChar w:fldCharType="separate"/>
      </w:r>
      <w:r w:rsidR="001C0481">
        <w:t>5.1</w:t>
      </w:r>
      <w:r w:rsidR="00A87D0E">
        <w:fldChar w:fldCharType="end"/>
      </w:r>
      <w:r w:rsidR="00395966">
        <w:t xml:space="preserve">. </w:t>
      </w:r>
      <w:r w:rsidR="002B3329">
        <w:t xml:space="preserve">Where the inherent risk level is deemed unacceptable, </w:t>
      </w:r>
      <w:r w:rsidR="002E265E">
        <w:t>treatments (</w:t>
      </w:r>
      <w:r w:rsidR="446AFE78">
        <w:t xml:space="preserve">such as </w:t>
      </w:r>
      <w:r w:rsidR="002E265E">
        <w:t>controls, mitigations and management measures</w:t>
      </w:r>
      <w:r w:rsidR="00356E74">
        <w:t xml:space="preserve"> – see Section </w:t>
      </w:r>
      <w:r>
        <w:fldChar w:fldCharType="begin"/>
      </w:r>
      <w:r>
        <w:instrText xml:space="preserve"> REF _Ref209078719 \r \h </w:instrText>
      </w:r>
      <w:r>
        <w:fldChar w:fldCharType="separate"/>
      </w:r>
      <w:r w:rsidR="001C0481">
        <w:t>5.6</w:t>
      </w:r>
      <w:r>
        <w:fldChar w:fldCharType="end"/>
      </w:r>
      <w:r w:rsidR="002E265E">
        <w:t xml:space="preserve">) should be </w:t>
      </w:r>
      <w:r w:rsidR="74C814BD">
        <w:t xml:space="preserve">developed </w:t>
      </w:r>
      <w:r w:rsidR="001568ED">
        <w:t>and implemented during the closure phase</w:t>
      </w:r>
      <w:r w:rsidR="00885A89">
        <w:t xml:space="preserve">, prior to </w:t>
      </w:r>
      <w:r w:rsidR="00157F59">
        <w:t xml:space="preserve">licence </w:t>
      </w:r>
      <w:r w:rsidR="00885A89">
        <w:t>surrender</w:t>
      </w:r>
      <w:r w:rsidR="002E265E">
        <w:t xml:space="preserve">. </w:t>
      </w:r>
    </w:p>
    <w:p w14:paraId="37785B45" w14:textId="1FA3FE17" w:rsidR="0004203E" w:rsidRDefault="006A081C" w:rsidP="004C7E04">
      <w:r>
        <w:t xml:space="preserve">The residual risk level </w:t>
      </w:r>
      <w:r w:rsidR="008068BE">
        <w:t>(</w:t>
      </w:r>
      <w:r w:rsidR="006148B5">
        <w:t xml:space="preserve">post </w:t>
      </w:r>
      <w:r w:rsidR="008068BE">
        <w:t xml:space="preserve">closure risk) </w:t>
      </w:r>
      <w:r>
        <w:t xml:space="preserve">after the implementation of these measures </w:t>
      </w:r>
      <w:r w:rsidR="00276C15">
        <w:t xml:space="preserve">should be analysed and evaluated again against the </w:t>
      </w:r>
      <w:r w:rsidR="209EE022">
        <w:t xml:space="preserve">defined </w:t>
      </w:r>
      <w:r w:rsidR="00276C15">
        <w:t xml:space="preserve">risk appetite </w:t>
      </w:r>
      <w:r w:rsidR="39B09752">
        <w:t>and</w:t>
      </w:r>
      <w:r w:rsidR="00276C15">
        <w:t xml:space="preserve"> tolerances</w:t>
      </w:r>
      <w:r w:rsidR="4996A3F0">
        <w:t>.</w:t>
      </w:r>
      <w:r w:rsidR="004742A3">
        <w:t xml:space="preserve"> </w:t>
      </w:r>
      <w:r w:rsidR="2B139609">
        <w:t>A</w:t>
      </w:r>
      <w:r w:rsidR="004742A3">
        <w:t xml:space="preserve">dditional controls </w:t>
      </w:r>
      <w:r w:rsidR="6D15EB2A">
        <w:t>should be</w:t>
      </w:r>
      <w:r w:rsidR="00C77940">
        <w:t xml:space="preserve"> </w:t>
      </w:r>
      <w:r w:rsidR="004742A3">
        <w:t xml:space="preserve">applied </w:t>
      </w:r>
      <w:r w:rsidR="00D2460F">
        <w:t xml:space="preserve">until the risk is </w:t>
      </w:r>
      <w:r w:rsidR="7FDDE6EA">
        <w:t>either</w:t>
      </w:r>
      <w:r w:rsidR="00C77940">
        <w:t xml:space="preserve"> </w:t>
      </w:r>
      <w:r w:rsidR="00A1572E" w:rsidRPr="2D1735F5">
        <w:rPr>
          <w:rStyle w:val="normaltextrun"/>
        </w:rPr>
        <w:t xml:space="preserve">eliminated or </w:t>
      </w:r>
      <w:r w:rsidR="00C472B1">
        <w:rPr>
          <w:rStyle w:val="normaltextrun"/>
        </w:rPr>
        <w:t xml:space="preserve">it can be </w:t>
      </w:r>
      <w:r w:rsidR="00AE34F3">
        <w:rPr>
          <w:rStyle w:val="normaltextrun"/>
        </w:rPr>
        <w:t xml:space="preserve">demonstrated </w:t>
      </w:r>
      <w:r w:rsidR="00166969">
        <w:rPr>
          <w:rStyle w:val="normaltextrun"/>
        </w:rPr>
        <w:t>that the risk</w:t>
      </w:r>
      <w:r w:rsidR="008B488B">
        <w:rPr>
          <w:rStyle w:val="normaltextrun"/>
        </w:rPr>
        <w:t xml:space="preserve"> </w:t>
      </w:r>
      <w:r w:rsidR="00166969">
        <w:rPr>
          <w:rStyle w:val="normaltextrun"/>
        </w:rPr>
        <w:t>has</w:t>
      </w:r>
      <w:r w:rsidR="00AE34F3">
        <w:rPr>
          <w:rStyle w:val="normaltextrun"/>
        </w:rPr>
        <w:t xml:space="preserve"> been </w:t>
      </w:r>
      <w:r w:rsidR="00A1572E" w:rsidRPr="2D1735F5">
        <w:rPr>
          <w:rStyle w:val="normaltextrun"/>
        </w:rPr>
        <w:t>reduced as far as reasonably practicable</w:t>
      </w:r>
      <w:r w:rsidR="004742A3">
        <w:t xml:space="preserve">. </w:t>
      </w:r>
      <w:r w:rsidR="00262437">
        <w:t xml:space="preserve">As further discussed in Section </w:t>
      </w:r>
      <w:r>
        <w:fldChar w:fldCharType="begin"/>
      </w:r>
      <w:r>
        <w:instrText xml:space="preserve"> REF _Ref209105994 \r \h </w:instrText>
      </w:r>
      <w:r>
        <w:fldChar w:fldCharType="separate"/>
      </w:r>
      <w:r w:rsidR="001C0481">
        <w:t>5.7</w:t>
      </w:r>
      <w:r>
        <w:fldChar w:fldCharType="end"/>
      </w:r>
      <w:r w:rsidR="00621425">
        <w:t>,</w:t>
      </w:r>
      <w:r w:rsidR="00262437">
        <w:t xml:space="preserve"> it is important that </w:t>
      </w:r>
      <w:r w:rsidR="00434815">
        <w:t xml:space="preserve">confidence and certainty in </w:t>
      </w:r>
      <w:r w:rsidR="62A6B52E">
        <w:t xml:space="preserve">the risk assessment </w:t>
      </w:r>
      <w:r w:rsidR="009D53FF">
        <w:t>are considered</w:t>
      </w:r>
      <w:r w:rsidR="003728A7">
        <w:t xml:space="preserve"> as part of the analysis and evaluation process, to </w:t>
      </w:r>
      <w:r w:rsidR="2986E19E">
        <w:t xml:space="preserve">avoid </w:t>
      </w:r>
      <w:r w:rsidR="00AD6249">
        <w:t>over</w:t>
      </w:r>
      <w:r w:rsidR="000F2E24">
        <w:t>-</w:t>
      </w:r>
      <w:r w:rsidR="00AD6249">
        <w:t xml:space="preserve"> or under</w:t>
      </w:r>
      <w:r w:rsidR="000F2E24">
        <w:t>-</w:t>
      </w:r>
      <w:r w:rsidR="00BC28E4">
        <w:t xml:space="preserve"> </w:t>
      </w:r>
      <w:r w:rsidR="00AD6249">
        <w:t>estimat</w:t>
      </w:r>
      <w:r w:rsidR="7693FA93">
        <w:t>ing</w:t>
      </w:r>
      <w:r w:rsidR="00AD6249">
        <w:t xml:space="preserve"> the level of risk. </w:t>
      </w:r>
    </w:p>
    <w:p w14:paraId="216FF2D2" w14:textId="3D01072C" w:rsidR="005B2046" w:rsidRDefault="005B2046" w:rsidP="00F00CA7">
      <w:pPr>
        <w:pStyle w:val="Heading2"/>
      </w:pPr>
      <w:bookmarkStart w:id="57" w:name="_Ref209078719"/>
      <w:bookmarkStart w:id="58" w:name="_Toc215653661"/>
      <w:bookmarkStart w:id="59" w:name="_Toc220407020"/>
      <w:r>
        <w:t>Controls, mitigations and management</w:t>
      </w:r>
      <w:bookmarkEnd w:id="57"/>
      <w:bookmarkEnd w:id="58"/>
      <w:bookmarkEnd w:id="59"/>
    </w:p>
    <w:p w14:paraId="3CDDAB26" w14:textId="7727E443" w:rsidR="005471D6" w:rsidRPr="0004524A" w:rsidRDefault="005471D6">
      <w:r>
        <w:t xml:space="preserve">As outlined in the DEECA (2025) </w:t>
      </w:r>
      <w:r w:rsidRPr="004E74D9">
        <w:rPr>
          <w:i/>
          <w:iCs/>
        </w:rPr>
        <w:t>Ministerial Guidelines for preparation of Declared Mine Rehabilitation Plans</w:t>
      </w:r>
      <w:r>
        <w:t xml:space="preserve">, </w:t>
      </w:r>
      <w:r w:rsidRPr="2D1735F5">
        <w:rPr>
          <w:rStyle w:val="normaltextrun"/>
        </w:rPr>
        <w:t>appropriate risk treatments</w:t>
      </w:r>
      <w:r w:rsidR="426080A4" w:rsidRPr="2D1735F5">
        <w:rPr>
          <w:rStyle w:val="normaltextrun"/>
        </w:rPr>
        <w:t xml:space="preserve"> and </w:t>
      </w:r>
      <w:r w:rsidRPr="2D1735F5">
        <w:rPr>
          <w:rStyle w:val="normaltextrun"/>
        </w:rPr>
        <w:t>controls</w:t>
      </w:r>
      <w:r w:rsidR="00A71145" w:rsidRPr="2D1735F5">
        <w:rPr>
          <w:rStyle w:val="normaltextrun"/>
        </w:rPr>
        <w:t xml:space="preserve"> should be identified</w:t>
      </w:r>
      <w:r w:rsidRPr="2D1735F5">
        <w:rPr>
          <w:rStyle w:val="normaltextrun"/>
        </w:rPr>
        <w:t xml:space="preserve"> using the hierarchy of control</w:t>
      </w:r>
      <w:r w:rsidR="00B36DFB" w:rsidRPr="2D1735F5">
        <w:rPr>
          <w:rStyle w:val="normaltextrun"/>
        </w:rPr>
        <w:t xml:space="preserve">, with any critical controls </w:t>
      </w:r>
      <w:r w:rsidR="00267729">
        <w:t>also identified.</w:t>
      </w:r>
      <w:r w:rsidR="00181586">
        <w:t xml:space="preserve"> </w:t>
      </w:r>
    </w:p>
    <w:p w14:paraId="6EAA9E37" w14:textId="008AA6D2" w:rsidR="00F52853" w:rsidRPr="009F7C93" w:rsidRDefault="00B7316A">
      <w:pPr>
        <w:rPr>
          <w:rFonts w:cs="Arial"/>
        </w:rPr>
      </w:pPr>
      <w:r w:rsidRPr="2D1735F5">
        <w:rPr>
          <w:rFonts w:cs="Arial"/>
        </w:rPr>
        <w:t xml:space="preserve">When identifying </w:t>
      </w:r>
      <w:r w:rsidR="00F3381F" w:rsidRPr="2D1735F5">
        <w:rPr>
          <w:rFonts w:cs="Arial"/>
        </w:rPr>
        <w:t>controls</w:t>
      </w:r>
      <w:r w:rsidR="00AB6F23" w:rsidRPr="2D1735F5">
        <w:rPr>
          <w:rFonts w:cs="Arial"/>
        </w:rPr>
        <w:t xml:space="preserve"> and mitigations in a risk assessment</w:t>
      </w:r>
      <w:r w:rsidR="00F3381F" w:rsidRPr="2D1735F5">
        <w:rPr>
          <w:rFonts w:cs="Arial"/>
        </w:rPr>
        <w:t xml:space="preserve">, </w:t>
      </w:r>
      <w:r w:rsidR="004A4CC4" w:rsidRPr="2D1735F5">
        <w:rPr>
          <w:rFonts w:cs="Arial"/>
        </w:rPr>
        <w:t>specific measure</w:t>
      </w:r>
      <w:r w:rsidR="471ED81A" w:rsidRPr="2D1735F5">
        <w:rPr>
          <w:rFonts w:cs="Arial"/>
        </w:rPr>
        <w:t>s</w:t>
      </w:r>
      <w:r w:rsidR="004A4CC4" w:rsidRPr="2D1735F5">
        <w:rPr>
          <w:rFonts w:cs="Arial"/>
        </w:rPr>
        <w:t xml:space="preserve"> related to </w:t>
      </w:r>
      <w:r w:rsidR="547CF76B" w:rsidRPr="2D1735F5">
        <w:rPr>
          <w:rFonts w:cs="Arial"/>
        </w:rPr>
        <w:t xml:space="preserve">each </w:t>
      </w:r>
      <w:r w:rsidR="00AB4285" w:rsidRPr="2D1735F5">
        <w:rPr>
          <w:rFonts w:cs="Arial"/>
        </w:rPr>
        <w:t>risk</w:t>
      </w:r>
      <w:r w:rsidR="00C24D7F" w:rsidRPr="2D1735F5">
        <w:rPr>
          <w:rFonts w:cs="Arial"/>
        </w:rPr>
        <w:t xml:space="preserve"> should be described</w:t>
      </w:r>
      <w:r w:rsidR="00AB4285" w:rsidRPr="2D1735F5">
        <w:rPr>
          <w:rFonts w:cs="Arial"/>
        </w:rPr>
        <w:t xml:space="preserve">, </w:t>
      </w:r>
      <w:r w:rsidR="00AB6F23" w:rsidRPr="2D1735F5">
        <w:rPr>
          <w:rFonts w:cs="Arial"/>
        </w:rPr>
        <w:t xml:space="preserve">rather than </w:t>
      </w:r>
      <w:r w:rsidR="37698EA8" w:rsidRPr="2D1735F5">
        <w:rPr>
          <w:rFonts w:cs="Arial"/>
        </w:rPr>
        <w:t xml:space="preserve">referring </w:t>
      </w:r>
      <w:r w:rsidR="002A51A3" w:rsidRPr="2D1735F5">
        <w:rPr>
          <w:rFonts w:cs="Arial"/>
        </w:rPr>
        <w:t xml:space="preserve">only </w:t>
      </w:r>
      <w:r w:rsidR="6A653592" w:rsidRPr="2D1735F5">
        <w:rPr>
          <w:rFonts w:cs="Arial"/>
        </w:rPr>
        <w:t xml:space="preserve">to </w:t>
      </w:r>
      <w:r w:rsidR="00AB6F23" w:rsidRPr="2D1735F5">
        <w:rPr>
          <w:rFonts w:cs="Arial"/>
        </w:rPr>
        <w:t xml:space="preserve">overarching </w:t>
      </w:r>
      <w:r w:rsidR="00591FD4" w:rsidRPr="2D1735F5">
        <w:rPr>
          <w:rFonts w:cs="Arial"/>
        </w:rPr>
        <w:t>management plan</w:t>
      </w:r>
      <w:r w:rsidR="7E9AD3DC" w:rsidRPr="2D1735F5">
        <w:rPr>
          <w:rFonts w:cs="Arial"/>
        </w:rPr>
        <w:t>s</w:t>
      </w:r>
      <w:r w:rsidR="00652B04" w:rsidRPr="2D1735F5">
        <w:rPr>
          <w:rFonts w:cs="Arial"/>
        </w:rPr>
        <w:t>. This</w:t>
      </w:r>
      <w:r w:rsidR="00591FD4" w:rsidRPr="2D1735F5">
        <w:rPr>
          <w:rFonts w:cs="Arial"/>
        </w:rPr>
        <w:t xml:space="preserve"> </w:t>
      </w:r>
      <w:r w:rsidR="00AB6F23" w:rsidRPr="2D1735F5">
        <w:rPr>
          <w:rFonts w:cs="Arial"/>
        </w:rPr>
        <w:t xml:space="preserve">provides transparency in the </w:t>
      </w:r>
      <w:r w:rsidR="671DFCCB" w:rsidRPr="2D1735F5">
        <w:rPr>
          <w:rFonts w:cs="Arial"/>
        </w:rPr>
        <w:t xml:space="preserve">risk </w:t>
      </w:r>
      <w:r w:rsidR="00AB6F23" w:rsidRPr="2D1735F5">
        <w:rPr>
          <w:rFonts w:cs="Arial"/>
        </w:rPr>
        <w:t>management</w:t>
      </w:r>
      <w:r w:rsidR="00AB1E8C" w:rsidRPr="2D1735F5">
        <w:rPr>
          <w:rFonts w:cs="Arial"/>
        </w:rPr>
        <w:t xml:space="preserve">, </w:t>
      </w:r>
      <w:r w:rsidR="4716A3A0" w:rsidRPr="2D1735F5">
        <w:rPr>
          <w:rFonts w:cs="Arial"/>
        </w:rPr>
        <w:t xml:space="preserve">as well as </w:t>
      </w:r>
      <w:r w:rsidR="00AB1E8C" w:rsidRPr="2D1735F5">
        <w:rPr>
          <w:rFonts w:cs="Arial"/>
        </w:rPr>
        <w:t>clarity</w:t>
      </w:r>
      <w:r w:rsidR="00C54913" w:rsidRPr="2D1735F5">
        <w:rPr>
          <w:rFonts w:cs="Arial"/>
        </w:rPr>
        <w:t>,</w:t>
      </w:r>
      <w:r w:rsidR="00AB1E8C" w:rsidRPr="2D1735F5">
        <w:rPr>
          <w:rFonts w:cs="Arial"/>
        </w:rPr>
        <w:t xml:space="preserve"> </w:t>
      </w:r>
      <w:r w:rsidR="00C54913" w:rsidRPr="2D1735F5">
        <w:rPr>
          <w:rFonts w:cs="Arial"/>
        </w:rPr>
        <w:t xml:space="preserve">accountability, and effective implementation </w:t>
      </w:r>
      <w:r w:rsidR="00AB1E8C" w:rsidRPr="2D1735F5">
        <w:rPr>
          <w:rFonts w:cs="Arial"/>
        </w:rPr>
        <w:lastRenderedPageBreak/>
        <w:t xml:space="preserve">for </w:t>
      </w:r>
      <w:r w:rsidR="00C24D7F" w:rsidRPr="2D1735F5">
        <w:rPr>
          <w:rFonts w:cs="Arial"/>
        </w:rPr>
        <w:t>the next responsible party</w:t>
      </w:r>
      <w:r w:rsidR="00591FD4" w:rsidRPr="2D1735F5">
        <w:rPr>
          <w:rFonts w:cs="Arial"/>
        </w:rPr>
        <w:t xml:space="preserve">. </w:t>
      </w:r>
      <w:r w:rsidR="00535AB9" w:rsidRPr="2D1735F5">
        <w:rPr>
          <w:rFonts w:cs="Arial"/>
        </w:rPr>
        <w:t xml:space="preserve">controls </w:t>
      </w:r>
      <w:r w:rsidR="00453CB6">
        <w:rPr>
          <w:rFonts w:cs="Arial"/>
        </w:rPr>
        <w:t xml:space="preserve">and mitigations </w:t>
      </w:r>
      <w:r w:rsidR="00535AB9" w:rsidRPr="2D1735F5">
        <w:rPr>
          <w:rFonts w:cs="Arial"/>
        </w:rPr>
        <w:t>identified within the risk assessment should</w:t>
      </w:r>
      <w:r w:rsidR="00C03CAE" w:rsidRPr="2D1735F5">
        <w:rPr>
          <w:rFonts w:cs="Arial"/>
        </w:rPr>
        <w:t xml:space="preserve"> </w:t>
      </w:r>
      <w:r w:rsidR="2FBBC234" w:rsidRPr="2D1735F5">
        <w:rPr>
          <w:rFonts w:cs="Arial"/>
        </w:rPr>
        <w:t xml:space="preserve">also inform </w:t>
      </w:r>
      <w:r w:rsidR="00C03CAE" w:rsidRPr="2D1735F5">
        <w:rPr>
          <w:rFonts w:cs="Arial"/>
        </w:rPr>
        <w:t xml:space="preserve">the </w:t>
      </w:r>
      <w:r w:rsidR="006148B5">
        <w:rPr>
          <w:rFonts w:cs="Arial"/>
        </w:rPr>
        <w:t>post closure</w:t>
      </w:r>
      <w:r w:rsidR="00C03CAE" w:rsidRPr="2D1735F5">
        <w:rPr>
          <w:rFonts w:cs="Arial"/>
        </w:rPr>
        <w:t xml:space="preserve"> plan</w:t>
      </w:r>
      <w:r w:rsidR="001A013B">
        <w:rPr>
          <w:rFonts w:cs="Arial"/>
        </w:rPr>
        <w:t>, prescribed records/information</w:t>
      </w:r>
      <w:r w:rsidR="00C03CAE" w:rsidRPr="2D1735F5">
        <w:rPr>
          <w:rFonts w:cs="Arial"/>
        </w:rPr>
        <w:t xml:space="preserve"> and supporting management documents. </w:t>
      </w:r>
    </w:p>
    <w:p w14:paraId="60497400" w14:textId="42BF3151" w:rsidR="00D3377A" w:rsidRDefault="00942C91" w:rsidP="00871810">
      <w:r w:rsidRPr="2D1735F5">
        <w:rPr>
          <w:rFonts w:cs="Arial"/>
        </w:rPr>
        <w:t>T</w:t>
      </w:r>
      <w:r w:rsidR="00E034A5" w:rsidRPr="2D1735F5">
        <w:rPr>
          <w:rFonts w:cs="Arial"/>
        </w:rPr>
        <w:t xml:space="preserve">he </w:t>
      </w:r>
      <w:r w:rsidR="006148B5">
        <w:rPr>
          <w:rFonts w:cs="Arial"/>
        </w:rPr>
        <w:t xml:space="preserve">post </w:t>
      </w:r>
      <w:r w:rsidRPr="2D1735F5">
        <w:rPr>
          <w:rFonts w:cs="Arial"/>
        </w:rPr>
        <w:t xml:space="preserve">closure </w:t>
      </w:r>
      <w:r w:rsidR="00E034A5" w:rsidRPr="2D1735F5">
        <w:rPr>
          <w:rFonts w:cs="Arial"/>
        </w:rPr>
        <w:t xml:space="preserve">risk treatment process </w:t>
      </w:r>
      <w:r w:rsidR="006D73EB" w:rsidRPr="2D1735F5">
        <w:rPr>
          <w:rFonts w:cs="Arial"/>
        </w:rPr>
        <w:t xml:space="preserve">also </w:t>
      </w:r>
      <w:r w:rsidR="71D588B6" w:rsidRPr="2D1735F5">
        <w:rPr>
          <w:rFonts w:cs="Arial"/>
        </w:rPr>
        <w:t xml:space="preserve">plays </w:t>
      </w:r>
      <w:r w:rsidR="006D73EB" w:rsidRPr="2D1735F5">
        <w:rPr>
          <w:rFonts w:cs="Arial"/>
        </w:rPr>
        <w:t xml:space="preserve">a key role in the final landform design. </w:t>
      </w:r>
      <w:r w:rsidR="3EE66E3E" w:rsidRPr="2D1735F5">
        <w:rPr>
          <w:rFonts w:cs="Arial"/>
        </w:rPr>
        <w:t xml:space="preserve">Returning to </w:t>
      </w:r>
      <w:r w:rsidR="00CD138B">
        <w:t xml:space="preserve">the pit lake example in Section </w:t>
      </w:r>
      <w:r>
        <w:fldChar w:fldCharType="begin"/>
      </w:r>
      <w:r>
        <w:instrText xml:space="preserve"> REF _Ref209017981 \r \h  \* MERGEFORMAT </w:instrText>
      </w:r>
      <w:r>
        <w:fldChar w:fldCharType="separate"/>
      </w:r>
      <w:r w:rsidR="001C0481">
        <w:t>5.4.2</w:t>
      </w:r>
      <w:r>
        <w:fldChar w:fldCharType="end"/>
      </w:r>
      <w:r w:rsidR="00CD138B">
        <w:t xml:space="preserve">, </w:t>
      </w:r>
      <w:r w:rsidR="00871810">
        <w:t>t</w:t>
      </w:r>
      <w:r w:rsidR="006B578F">
        <w:t>he</w:t>
      </w:r>
      <w:r w:rsidR="00056696">
        <w:t xml:space="preserve"> creation of a publicly accessible</w:t>
      </w:r>
      <w:r w:rsidR="00E669F7">
        <w:t xml:space="preserve">, recreational pit lake could introduce the risk of </w:t>
      </w:r>
      <w:r w:rsidR="00A13AB5">
        <w:t xml:space="preserve">drowning. </w:t>
      </w:r>
      <w:r w:rsidR="537F3C8B">
        <w:t>P</w:t>
      </w:r>
      <w:r w:rsidR="00A13AB5">
        <w:t>otential control</w:t>
      </w:r>
      <w:r w:rsidR="7EEE6E6A">
        <w:t>s</w:t>
      </w:r>
      <w:r w:rsidR="00A13AB5">
        <w:t xml:space="preserve"> to mitigate this risk could </w:t>
      </w:r>
      <w:r w:rsidR="2978EDD5">
        <w:t>include</w:t>
      </w:r>
      <w:r w:rsidR="004856C8">
        <w:t xml:space="preserve">, but </w:t>
      </w:r>
      <w:r w:rsidR="00994C96">
        <w:t xml:space="preserve">are </w:t>
      </w:r>
      <w:r w:rsidR="004856C8">
        <w:t>not limited t</w:t>
      </w:r>
      <w:r w:rsidR="00FD4110">
        <w:t>o,</w:t>
      </w:r>
      <w:r w:rsidR="2978EDD5">
        <w:t xml:space="preserve"> </w:t>
      </w:r>
      <w:r w:rsidR="00185DBD">
        <w:t>incorporat</w:t>
      </w:r>
      <w:r w:rsidR="07EFD62C">
        <w:t>ing</w:t>
      </w:r>
      <w:r w:rsidR="00185DBD">
        <w:t xml:space="preserve"> </w:t>
      </w:r>
      <w:r w:rsidR="00FA3B6C">
        <w:t xml:space="preserve">fencing, </w:t>
      </w:r>
      <w:r w:rsidR="00185DBD">
        <w:t>egress points around the lake</w:t>
      </w:r>
      <w:r w:rsidR="214A6817">
        <w:t>,</w:t>
      </w:r>
      <w:r w:rsidR="645F6E25">
        <w:t xml:space="preserve"> installing</w:t>
      </w:r>
      <w:r w:rsidR="214A6817">
        <w:t xml:space="preserve"> signage</w:t>
      </w:r>
      <w:r w:rsidR="06B224B9">
        <w:t xml:space="preserve"> and</w:t>
      </w:r>
      <w:r w:rsidR="00185DBD">
        <w:t xml:space="preserve"> ensur</w:t>
      </w:r>
      <w:r w:rsidR="2902D698">
        <w:t>ing</w:t>
      </w:r>
      <w:r w:rsidR="00185DBD">
        <w:t xml:space="preserve"> that </w:t>
      </w:r>
      <w:r w:rsidR="0088546B">
        <w:t xml:space="preserve">there are </w:t>
      </w:r>
      <w:r w:rsidR="00185DBD">
        <w:t xml:space="preserve">no </w:t>
      </w:r>
      <w:r w:rsidR="00FC3027">
        <w:t xml:space="preserve">steep drop-offs </w:t>
      </w:r>
      <w:r w:rsidR="003E59B1">
        <w:t xml:space="preserve">below the water line </w:t>
      </w:r>
      <w:r w:rsidR="0088546B">
        <w:t>in publicly accessible areas. The</w:t>
      </w:r>
      <w:r w:rsidR="00404B88">
        <w:t xml:space="preserve"> introduction of these controls </w:t>
      </w:r>
      <w:r w:rsidR="3862687F">
        <w:t xml:space="preserve">would </w:t>
      </w:r>
      <w:r w:rsidR="00404B88">
        <w:t>result in explicit changes to the final landform design</w:t>
      </w:r>
      <w:r w:rsidR="00D86615">
        <w:t xml:space="preserve"> and may require additional </w:t>
      </w:r>
      <w:r w:rsidR="006148B5">
        <w:t>post closure</w:t>
      </w:r>
      <w:r w:rsidR="00307199">
        <w:t xml:space="preserve"> </w:t>
      </w:r>
      <w:r w:rsidR="00820A9F">
        <w:t>management</w:t>
      </w:r>
      <w:r w:rsidR="00404B88">
        <w:t>.</w:t>
      </w:r>
      <w:r w:rsidR="0088546B">
        <w:t xml:space="preserve"> </w:t>
      </w:r>
      <w:r w:rsidR="00A13AB5">
        <w:t xml:space="preserve"> </w:t>
      </w:r>
    </w:p>
    <w:p w14:paraId="07FF3507" w14:textId="4709A617" w:rsidR="00E6625A" w:rsidRDefault="00DB2EDF" w:rsidP="00404B88">
      <w:pPr>
        <w:rPr>
          <w:highlight w:val="yellow"/>
        </w:rPr>
      </w:pPr>
      <w:r>
        <w:t>I</w:t>
      </w:r>
      <w:r w:rsidR="00D4776C">
        <w:t xml:space="preserve">ndividual risk events and </w:t>
      </w:r>
      <w:r w:rsidR="00A45E4B">
        <w:t xml:space="preserve">their treatments cannot be </w:t>
      </w:r>
      <w:r w:rsidR="6ED27FAB">
        <w:t xml:space="preserve">considered </w:t>
      </w:r>
      <w:r w:rsidR="00A45E4B">
        <w:t xml:space="preserve">in isolation. </w:t>
      </w:r>
      <w:r w:rsidR="3A0A8125">
        <w:t xml:space="preserve">For example, </w:t>
      </w:r>
      <w:r w:rsidR="00A45E4B">
        <w:t xml:space="preserve">CSIRO (2025) </w:t>
      </w:r>
      <w:r w:rsidR="30CF8B7A" w:rsidRPr="007F3112">
        <w:t xml:space="preserve">notes that </w:t>
      </w:r>
      <w:r w:rsidR="007F3112" w:rsidRPr="007F3112">
        <w:t xml:space="preserve">re-profiling a slope </w:t>
      </w:r>
      <w:r w:rsidR="00C7596F">
        <w:t>may</w:t>
      </w:r>
      <w:r w:rsidR="007F3112" w:rsidRPr="007F3112">
        <w:t xml:space="preserve"> </w:t>
      </w:r>
      <w:r w:rsidR="00595621">
        <w:t>improve stability (increas</w:t>
      </w:r>
      <w:r w:rsidR="2D084247">
        <w:t>ing the</w:t>
      </w:r>
      <w:r w:rsidR="007F3112" w:rsidRPr="007F3112">
        <w:t xml:space="preserve"> factor of safety</w:t>
      </w:r>
      <w:r w:rsidR="00595621">
        <w:t>)</w:t>
      </w:r>
      <w:r w:rsidR="007F3112" w:rsidRPr="007F3112">
        <w:t xml:space="preserve">, </w:t>
      </w:r>
      <w:r w:rsidR="67C962D8" w:rsidRPr="007F3112">
        <w:t>but could also</w:t>
      </w:r>
      <w:r w:rsidR="007F3112" w:rsidRPr="007F3112">
        <w:t xml:space="preserve"> result in increased disturbance, closer proximity to sensitive sites at the crest, or impacts to surface water flows</w:t>
      </w:r>
      <w:r w:rsidR="00595621">
        <w:rPr>
          <w:rStyle w:val="FootnoteReference"/>
        </w:rPr>
        <w:footnoteReference w:id="34"/>
      </w:r>
      <w:r w:rsidR="00595621">
        <w:t xml:space="preserve">. </w:t>
      </w:r>
      <w:r w:rsidR="00A6216A">
        <w:t xml:space="preserve">Accordingly, it is important </w:t>
      </w:r>
      <w:r w:rsidR="00E93C84">
        <w:t xml:space="preserve">to consider the </w:t>
      </w:r>
      <w:r w:rsidR="00BB317F">
        <w:t xml:space="preserve">broader </w:t>
      </w:r>
      <w:r w:rsidR="37C80D2A">
        <w:t xml:space="preserve">implications </w:t>
      </w:r>
      <w:r w:rsidR="00BB317F">
        <w:t xml:space="preserve">of </w:t>
      </w:r>
      <w:r w:rsidR="008038AC">
        <w:t>controls</w:t>
      </w:r>
      <w:r w:rsidR="00F7276A">
        <w:t xml:space="preserve"> </w:t>
      </w:r>
      <w:r w:rsidR="008038AC">
        <w:t xml:space="preserve">to ensure that new </w:t>
      </w:r>
      <w:r w:rsidR="78CF7E74">
        <w:t xml:space="preserve">measures </w:t>
      </w:r>
      <w:r w:rsidR="00F7276A">
        <w:t>do</w:t>
      </w:r>
      <w:r w:rsidR="008038AC">
        <w:t xml:space="preserve"> not exacerbate </w:t>
      </w:r>
      <w:r w:rsidR="2136BF6B">
        <w:t xml:space="preserve">existing risks </w:t>
      </w:r>
      <w:r w:rsidR="00F7276A">
        <w:t xml:space="preserve">or introduce new </w:t>
      </w:r>
      <w:r w:rsidR="60348C28">
        <w:t>ones</w:t>
      </w:r>
      <w:r w:rsidR="002D2748">
        <w:t xml:space="preserve">, and </w:t>
      </w:r>
      <w:r w:rsidR="0080211C">
        <w:t xml:space="preserve">that </w:t>
      </w:r>
      <w:r w:rsidR="002D2748">
        <w:t>if they do</w:t>
      </w:r>
      <w:r w:rsidR="0080211C">
        <w:t xml:space="preserve">, the </w:t>
      </w:r>
      <w:r w:rsidR="002D2748">
        <w:t xml:space="preserve">new risk </w:t>
      </w:r>
      <w:r w:rsidR="0080211C">
        <w:t>will</w:t>
      </w:r>
      <w:r w:rsidR="002D2748">
        <w:t xml:space="preserve"> need to be assessed separately</w:t>
      </w:r>
      <w:r w:rsidR="00F7276A">
        <w:t xml:space="preserve">. </w:t>
      </w:r>
    </w:p>
    <w:p w14:paraId="0115E8AF" w14:textId="393818E5" w:rsidR="00C32D45" w:rsidRDefault="00C32D45" w:rsidP="00F00CA7">
      <w:pPr>
        <w:pStyle w:val="Heading2"/>
      </w:pPr>
      <w:bookmarkStart w:id="60" w:name="_Ref209105994"/>
      <w:bookmarkStart w:id="61" w:name="_Toc215653662"/>
      <w:bookmarkStart w:id="62" w:name="_Toc220407021"/>
      <w:r w:rsidRPr="007754D0">
        <w:t>Uncertainty and assumptions</w:t>
      </w:r>
      <w:bookmarkEnd w:id="60"/>
      <w:bookmarkEnd w:id="61"/>
      <w:bookmarkEnd w:id="62"/>
    </w:p>
    <w:p w14:paraId="5C629C0E" w14:textId="47709F76" w:rsidR="00810913" w:rsidRDefault="00B81AF9" w:rsidP="00810913">
      <w:r>
        <w:t xml:space="preserve">As noted in Section </w:t>
      </w:r>
      <w:r>
        <w:fldChar w:fldCharType="begin"/>
      </w:r>
      <w:r>
        <w:instrText xml:space="preserve"> REF _Ref209091958 \r \h </w:instrText>
      </w:r>
      <w:r>
        <w:fldChar w:fldCharType="separate"/>
      </w:r>
      <w:r w:rsidR="001C0481">
        <w:t>5.3.1</w:t>
      </w:r>
      <w:r>
        <w:fldChar w:fldCharType="end"/>
      </w:r>
      <w:r>
        <w:t>,</w:t>
      </w:r>
      <w:r w:rsidR="0047097A">
        <w:t xml:space="preserve"> the timescales for </w:t>
      </w:r>
      <w:r w:rsidR="006148B5">
        <w:t>post closure</w:t>
      </w:r>
      <w:r w:rsidR="0047097A">
        <w:t xml:space="preserve"> are long</w:t>
      </w:r>
      <w:r w:rsidR="585C65BB">
        <w:t>,</w:t>
      </w:r>
      <w:r w:rsidR="0047097A">
        <w:t xml:space="preserve"> and </w:t>
      </w:r>
      <w:r w:rsidR="003E07EB">
        <w:t>a</w:t>
      </w:r>
      <w:r w:rsidR="00810913">
        <w:t>ssessing risks</w:t>
      </w:r>
      <w:r w:rsidR="00B51973">
        <w:t>, particularly</w:t>
      </w:r>
      <w:r w:rsidR="00810913">
        <w:t xml:space="preserve"> during early planning stages</w:t>
      </w:r>
      <w:r w:rsidR="00B51973">
        <w:t>,</w:t>
      </w:r>
      <w:r w:rsidR="00810913">
        <w:t xml:space="preserve"> can be challenging due to </w:t>
      </w:r>
      <w:r w:rsidR="001D42DC">
        <w:t>uncertainties,</w:t>
      </w:r>
      <w:r w:rsidR="00810913">
        <w:t xml:space="preserve"> limited data, evolving environmental conditions, </w:t>
      </w:r>
      <w:r w:rsidR="00603494">
        <w:t>pending technical studies</w:t>
      </w:r>
      <w:r w:rsidR="00612DA2">
        <w:t>,</w:t>
      </w:r>
      <w:r w:rsidR="00810913">
        <w:t xml:space="preserve"> </w:t>
      </w:r>
      <w:r w:rsidR="06FB3570">
        <w:t xml:space="preserve">and </w:t>
      </w:r>
      <w:r w:rsidR="00810913">
        <w:t xml:space="preserve">the </w:t>
      </w:r>
      <w:r w:rsidR="00A475E7">
        <w:t xml:space="preserve">potential </w:t>
      </w:r>
      <w:r w:rsidR="00810913">
        <w:t xml:space="preserve">unpredictability of future land use and </w:t>
      </w:r>
      <w:r w:rsidR="00612DA2">
        <w:t xml:space="preserve">/ or </w:t>
      </w:r>
      <w:r w:rsidR="00810913">
        <w:t>stakeholder expectations.</w:t>
      </w:r>
      <w:r w:rsidR="00B51973">
        <w:t xml:space="preserve"> </w:t>
      </w:r>
    </w:p>
    <w:p w14:paraId="1DFC172E" w14:textId="16B3C3AC" w:rsidR="0034652A" w:rsidRDefault="57DD8AB0" w:rsidP="00810913">
      <w:r>
        <w:t>T</w:t>
      </w:r>
      <w:r w:rsidR="0D162FFA">
        <w:t xml:space="preserve">here may be </w:t>
      </w:r>
      <w:r w:rsidR="5389448E">
        <w:t xml:space="preserve">various uncertainties </w:t>
      </w:r>
      <w:r w:rsidR="67145BC0">
        <w:t xml:space="preserve">and assumptions </w:t>
      </w:r>
      <w:r w:rsidR="5389448E">
        <w:t xml:space="preserve">associated with </w:t>
      </w:r>
      <w:r w:rsidR="6C19DDA7">
        <w:t xml:space="preserve">the </w:t>
      </w:r>
      <w:r w:rsidR="006148B5">
        <w:t>post closure</w:t>
      </w:r>
      <w:r w:rsidR="5389448E">
        <w:t xml:space="preserve"> </w:t>
      </w:r>
      <w:r w:rsidR="13DF886C">
        <w:t>phase,</w:t>
      </w:r>
      <w:r w:rsidR="2C7C243B">
        <w:t xml:space="preserve"> and</w:t>
      </w:r>
      <w:r w:rsidR="6C19DDA7">
        <w:t xml:space="preserve"> it is crucial that </w:t>
      </w:r>
      <w:r w:rsidR="6F330DB6">
        <w:t>they</w:t>
      </w:r>
      <w:r w:rsidR="6C19DDA7">
        <w:t xml:space="preserve"> are expressly stated</w:t>
      </w:r>
      <w:r w:rsidR="40AC32A8">
        <w:t>, justified</w:t>
      </w:r>
      <w:r w:rsidR="6C19DDA7">
        <w:t xml:space="preserve"> and documented </w:t>
      </w:r>
      <w:r w:rsidR="16B8DE17">
        <w:t xml:space="preserve">as </w:t>
      </w:r>
      <w:r w:rsidR="6C19DDA7">
        <w:t>part of the risk assessment process.</w:t>
      </w:r>
      <w:r w:rsidR="6FD284EE">
        <w:t xml:space="preserve"> This should include</w:t>
      </w:r>
      <w:r w:rsidR="45013461">
        <w:t xml:space="preserve">, but not </w:t>
      </w:r>
      <w:r w:rsidR="66099916">
        <w:t xml:space="preserve">be </w:t>
      </w:r>
      <w:r w:rsidR="45013461">
        <w:t>limited to,</w:t>
      </w:r>
      <w:r w:rsidR="09768F61">
        <w:t xml:space="preserve"> engineering design life, factor of safety, probability of failure, and any modelling predictive uncertainty analysis.</w:t>
      </w:r>
      <w:r w:rsidR="4085AB03">
        <w:t xml:space="preserve"> </w:t>
      </w:r>
      <w:r w:rsidR="39BA35E5">
        <w:t>These</w:t>
      </w:r>
      <w:r w:rsidR="3006718A">
        <w:t xml:space="preserve"> </w:t>
      </w:r>
      <w:r w:rsidR="4085AB03">
        <w:t xml:space="preserve">should be </w:t>
      </w:r>
      <w:r w:rsidR="75CA5C36">
        <w:t>clearly</w:t>
      </w:r>
      <w:r w:rsidR="3DD219A1">
        <w:t xml:space="preserve"> </w:t>
      </w:r>
      <w:r w:rsidR="60114946">
        <w:t xml:space="preserve">described and </w:t>
      </w:r>
      <w:r w:rsidR="4085AB03">
        <w:t>justified</w:t>
      </w:r>
      <w:r w:rsidR="4A31EA3F">
        <w:t xml:space="preserve">, with </w:t>
      </w:r>
      <w:r w:rsidR="154273F4">
        <w:t>a clear road map in place</w:t>
      </w:r>
      <w:r w:rsidR="3DD219A1">
        <w:t xml:space="preserve"> to </w:t>
      </w:r>
      <w:r w:rsidR="25C689A0">
        <w:t>verify</w:t>
      </w:r>
      <w:r w:rsidR="154273F4">
        <w:t xml:space="preserve"> </w:t>
      </w:r>
      <w:r w:rsidR="6A2786DE">
        <w:t>them</w:t>
      </w:r>
      <w:r w:rsidR="4B0C1CBA">
        <w:t xml:space="preserve"> </w:t>
      </w:r>
      <w:r w:rsidR="5A4063FF">
        <w:t xml:space="preserve">prior to </w:t>
      </w:r>
      <w:r w:rsidR="00E9336C">
        <w:t xml:space="preserve">licence </w:t>
      </w:r>
      <w:r w:rsidR="5D1C644A">
        <w:t xml:space="preserve">surrender </w:t>
      </w:r>
      <w:r w:rsidR="4B0C1CBA">
        <w:t xml:space="preserve">(e.g., </w:t>
      </w:r>
      <w:r w:rsidR="684FD3BA">
        <w:t xml:space="preserve">a </w:t>
      </w:r>
      <w:r w:rsidR="13DF886C">
        <w:t xml:space="preserve">milestone planning/ </w:t>
      </w:r>
      <w:r w:rsidR="4B0C1CBA">
        <w:t>schedule of technical studies</w:t>
      </w:r>
      <w:r w:rsidR="32F4022A">
        <w:t xml:space="preserve">). </w:t>
      </w:r>
    </w:p>
    <w:p w14:paraId="6B13FD36" w14:textId="3B3AF8FC" w:rsidR="00C71EB7" w:rsidRDefault="4E7C3BAE" w:rsidP="00810913">
      <w:r>
        <w:t>F</w:t>
      </w:r>
      <w:r w:rsidR="187081DA">
        <w:t>or transparency</w:t>
      </w:r>
      <w:r w:rsidR="62241871">
        <w:t>,</w:t>
      </w:r>
      <w:r w:rsidR="187081DA">
        <w:t xml:space="preserve"> </w:t>
      </w:r>
      <w:r w:rsidR="3AF89A97">
        <w:t xml:space="preserve">and to </w:t>
      </w:r>
      <w:r w:rsidR="3DA5F1DD">
        <w:t>provide</w:t>
      </w:r>
      <w:r w:rsidR="3AF89A97">
        <w:t xml:space="preserve"> stakeholders </w:t>
      </w:r>
      <w:r w:rsidR="3DA5F1DD">
        <w:t xml:space="preserve">with confidence that </w:t>
      </w:r>
      <w:r w:rsidR="006148B5">
        <w:t>post closure</w:t>
      </w:r>
      <w:r w:rsidR="3DA5F1DD">
        <w:t xml:space="preserve"> risks are well understood</w:t>
      </w:r>
      <w:r w:rsidR="75D9C849">
        <w:t xml:space="preserve">, </w:t>
      </w:r>
      <w:r w:rsidR="25AD1AFC">
        <w:t xml:space="preserve">the </w:t>
      </w:r>
      <w:r w:rsidR="0664E36B">
        <w:t xml:space="preserve">level of </w:t>
      </w:r>
      <w:r w:rsidR="28979306">
        <w:t xml:space="preserve">confidence </w:t>
      </w:r>
      <w:r w:rsidR="10E92A1E">
        <w:t xml:space="preserve">associated with </w:t>
      </w:r>
      <w:r w:rsidR="0664E36B">
        <w:t xml:space="preserve">each risk item </w:t>
      </w:r>
      <w:r w:rsidR="01EA8190">
        <w:t xml:space="preserve">and </w:t>
      </w:r>
      <w:r w:rsidR="72DCEF01">
        <w:t xml:space="preserve">its corresponding </w:t>
      </w:r>
      <w:r w:rsidR="01EA8190">
        <w:t xml:space="preserve">controls </w:t>
      </w:r>
      <w:r w:rsidR="3686ECFF">
        <w:t xml:space="preserve">should </w:t>
      </w:r>
      <w:r w:rsidR="15DE80F8">
        <w:t xml:space="preserve">also </w:t>
      </w:r>
      <w:r w:rsidR="3686ECFF">
        <w:t xml:space="preserve">be </w:t>
      </w:r>
      <w:r w:rsidR="7018FB08">
        <w:t>reported</w:t>
      </w:r>
      <w:r w:rsidR="0664E36B">
        <w:t>.</w:t>
      </w:r>
      <w:r w:rsidR="25AD1AFC">
        <w:t xml:space="preserve"> </w:t>
      </w:r>
      <w:r w:rsidR="0486146D">
        <w:t>One way to achieve this</w:t>
      </w:r>
      <w:r w:rsidR="2C14ED94">
        <w:t xml:space="preserve"> </w:t>
      </w:r>
      <w:r w:rsidR="3D512D49">
        <w:t xml:space="preserve">is through </w:t>
      </w:r>
      <w:r w:rsidR="5C311777">
        <w:t xml:space="preserve">the inclusion of </w:t>
      </w:r>
      <w:r w:rsidR="54B59976">
        <w:t xml:space="preserve">“confidence level” </w:t>
      </w:r>
      <w:r w:rsidR="0D4ACC6D">
        <w:t xml:space="preserve">columns within a risk register (see </w:t>
      </w:r>
      <w:r w:rsidR="00236CF9">
        <w:fldChar w:fldCharType="begin"/>
      </w:r>
      <w:r w:rsidR="00236CF9">
        <w:instrText xml:space="preserve"> REF _Ref209172094 \h </w:instrText>
      </w:r>
      <w:r w:rsidR="00236CF9">
        <w:fldChar w:fldCharType="separate"/>
      </w:r>
      <w:r w:rsidR="001C0481">
        <w:t>Appendix A: Example Risk Register</w:t>
      </w:r>
      <w:r w:rsidR="00236CF9">
        <w:fldChar w:fldCharType="end"/>
      </w:r>
      <w:r w:rsidR="770E0F88">
        <w:t>). The</w:t>
      </w:r>
      <w:r w:rsidR="0D4ACC6D">
        <w:t xml:space="preserve"> aim </w:t>
      </w:r>
      <w:r w:rsidR="27C8FC03">
        <w:t>is</w:t>
      </w:r>
      <w:r w:rsidR="0D4ACC6D">
        <w:t xml:space="preserve"> </w:t>
      </w:r>
      <w:r w:rsidR="363E870E">
        <w:t xml:space="preserve">to communicate </w:t>
      </w:r>
      <w:r w:rsidR="7A75E751">
        <w:t xml:space="preserve">the </w:t>
      </w:r>
      <w:r w:rsidR="41A0C7F4">
        <w:t xml:space="preserve">degree </w:t>
      </w:r>
      <w:r w:rsidR="7A75E751">
        <w:t xml:space="preserve">of </w:t>
      </w:r>
      <w:r w:rsidR="4763AE58">
        <w:t xml:space="preserve">certainty </w:t>
      </w:r>
      <w:r w:rsidR="2DDB92C4">
        <w:t xml:space="preserve">in </w:t>
      </w:r>
      <w:r w:rsidR="4C92443E">
        <w:t xml:space="preserve">both </w:t>
      </w:r>
      <w:r w:rsidR="2DDB92C4">
        <w:t>the understanding</w:t>
      </w:r>
      <w:r w:rsidR="7A75E751">
        <w:t xml:space="preserve"> </w:t>
      </w:r>
      <w:r w:rsidR="15D71C05">
        <w:t xml:space="preserve">of </w:t>
      </w:r>
      <w:r w:rsidR="40FDBBA3">
        <w:t xml:space="preserve">each </w:t>
      </w:r>
      <w:r w:rsidR="15D71C05">
        <w:t xml:space="preserve">risk </w:t>
      </w:r>
      <w:r w:rsidR="27E8D44B">
        <w:t xml:space="preserve">and </w:t>
      </w:r>
      <w:r w:rsidR="3C622EC3">
        <w:t xml:space="preserve">the </w:t>
      </w:r>
      <w:r w:rsidR="72BE078C">
        <w:t xml:space="preserve">effectiveness of </w:t>
      </w:r>
      <w:r w:rsidR="310F9D94">
        <w:t xml:space="preserve">the </w:t>
      </w:r>
      <w:r w:rsidR="72BE078C">
        <w:t xml:space="preserve">controls </w:t>
      </w:r>
      <w:r w:rsidR="2A008356">
        <w:t xml:space="preserve">in </w:t>
      </w:r>
      <w:r w:rsidR="64F3FE78">
        <w:t xml:space="preserve">mitigate </w:t>
      </w:r>
      <w:r w:rsidR="276034C2">
        <w:t>it</w:t>
      </w:r>
      <w:r w:rsidR="64F3FE78">
        <w:t xml:space="preserve">. </w:t>
      </w:r>
      <w:r w:rsidR="519DC1AD">
        <w:t xml:space="preserve">Examples of </w:t>
      </w:r>
      <w:r w:rsidR="5A13542F">
        <w:t xml:space="preserve">confidence </w:t>
      </w:r>
      <w:r w:rsidR="2DDB92C4">
        <w:t xml:space="preserve">levels </w:t>
      </w:r>
      <w:r w:rsidR="519DC1AD">
        <w:t xml:space="preserve">are presented in </w:t>
      </w:r>
      <w:r w:rsidR="00236CF9">
        <w:fldChar w:fldCharType="begin"/>
      </w:r>
      <w:r w:rsidR="00236CF9">
        <w:instrText xml:space="preserve"> REF _Ref209103366 \h </w:instrText>
      </w:r>
      <w:r w:rsidR="00236CF9">
        <w:fldChar w:fldCharType="separate"/>
      </w:r>
      <w:r w:rsidR="001C0481">
        <w:t xml:space="preserve">Table </w:t>
      </w:r>
      <w:r w:rsidR="001C0481">
        <w:rPr>
          <w:noProof/>
        </w:rPr>
        <w:t>1</w:t>
      </w:r>
      <w:r w:rsidR="00236CF9">
        <w:fldChar w:fldCharType="end"/>
      </w:r>
      <w:r w:rsidR="519DC1AD">
        <w:t xml:space="preserve">. </w:t>
      </w:r>
    </w:p>
    <w:p w14:paraId="2EE19C49" w14:textId="6C547581" w:rsidR="001A0146" w:rsidRDefault="001A0146" w:rsidP="007754D0">
      <w:pPr>
        <w:pStyle w:val="Caption"/>
        <w:keepNext/>
      </w:pPr>
      <w:bookmarkStart w:id="63" w:name="_Ref209103366"/>
      <w:r>
        <w:t xml:space="preserve">Table </w:t>
      </w:r>
      <w:r w:rsidR="00561E0A">
        <w:fldChar w:fldCharType="begin"/>
      </w:r>
      <w:r w:rsidR="00561E0A">
        <w:instrText xml:space="preserve"> SEQ Table \* ARABIC </w:instrText>
      </w:r>
      <w:r w:rsidR="00561E0A">
        <w:fldChar w:fldCharType="separate"/>
      </w:r>
      <w:r w:rsidR="001C0481">
        <w:rPr>
          <w:noProof/>
        </w:rPr>
        <w:t>1</w:t>
      </w:r>
      <w:r w:rsidR="00561E0A">
        <w:rPr>
          <w:noProof/>
        </w:rPr>
        <w:fldChar w:fldCharType="end"/>
      </w:r>
      <w:bookmarkEnd w:id="63"/>
      <w:r>
        <w:tab/>
        <w:t xml:space="preserve">Risk </w:t>
      </w:r>
      <w:r w:rsidR="00D7688E">
        <w:t xml:space="preserve">confidence </w:t>
      </w:r>
      <w:r>
        <w:t>rating</w:t>
      </w:r>
    </w:p>
    <w:tbl>
      <w:tblPr>
        <w:tblStyle w:val="TableGrid"/>
        <w:tblW w:w="5000" w:type="pct"/>
        <w:tblLook w:val="04A0" w:firstRow="1" w:lastRow="0" w:firstColumn="1" w:lastColumn="0" w:noHBand="0" w:noVBand="1"/>
      </w:tblPr>
      <w:tblGrid>
        <w:gridCol w:w="2358"/>
        <w:gridCol w:w="3127"/>
        <w:gridCol w:w="3531"/>
      </w:tblGrid>
      <w:tr w:rsidR="00003939" w14:paraId="00A65AD9" w14:textId="77777777" w:rsidTr="2D1735F5">
        <w:trPr>
          <w:cantSplit/>
          <w:tblHeader/>
        </w:trPr>
        <w:tc>
          <w:tcPr>
            <w:tcW w:w="1308" w:type="pct"/>
            <w:vMerge w:val="restart"/>
            <w:shd w:val="clear" w:color="auto" w:fill="CAEDFB" w:themeFill="accent4" w:themeFillTint="33"/>
          </w:tcPr>
          <w:p w14:paraId="60FD0EB7" w14:textId="10F787E8" w:rsidR="00003939" w:rsidRPr="007754D0" w:rsidRDefault="00D7688E" w:rsidP="007754D0">
            <w:pPr>
              <w:pStyle w:val="TableStyle"/>
              <w:rPr>
                <w:b/>
              </w:rPr>
            </w:pPr>
            <w:r>
              <w:rPr>
                <w:b/>
              </w:rPr>
              <w:t>Confidence</w:t>
            </w:r>
            <w:r w:rsidRPr="007754D0">
              <w:rPr>
                <w:b/>
              </w:rPr>
              <w:t xml:space="preserve"> </w:t>
            </w:r>
            <w:r w:rsidR="00003939" w:rsidRPr="007754D0">
              <w:rPr>
                <w:b/>
              </w:rPr>
              <w:t>level</w:t>
            </w:r>
          </w:p>
        </w:tc>
        <w:tc>
          <w:tcPr>
            <w:tcW w:w="3692" w:type="pct"/>
            <w:gridSpan w:val="2"/>
            <w:shd w:val="clear" w:color="auto" w:fill="CAEDFB" w:themeFill="accent4" w:themeFillTint="33"/>
          </w:tcPr>
          <w:p w14:paraId="601E9C35" w14:textId="595EDCE7" w:rsidR="00003939" w:rsidRPr="007754D0" w:rsidRDefault="00D7688E" w:rsidP="007754D0">
            <w:pPr>
              <w:pStyle w:val="TableStyle"/>
              <w:jc w:val="center"/>
              <w:rPr>
                <w:b/>
              </w:rPr>
            </w:pPr>
            <w:r>
              <w:rPr>
                <w:b/>
              </w:rPr>
              <w:t>Confidence</w:t>
            </w:r>
            <w:r w:rsidRPr="007754D0">
              <w:rPr>
                <w:b/>
              </w:rPr>
              <w:t xml:space="preserve"> </w:t>
            </w:r>
            <w:r w:rsidR="007147FB" w:rsidRPr="007754D0">
              <w:rPr>
                <w:b/>
                <w:bCs/>
              </w:rPr>
              <w:t>description</w:t>
            </w:r>
            <w:r w:rsidR="00784433">
              <w:rPr>
                <w:b/>
                <w:bCs/>
              </w:rPr>
              <w:t>*</w:t>
            </w:r>
          </w:p>
        </w:tc>
      </w:tr>
      <w:tr w:rsidR="00003939" w14:paraId="7AE09AA8" w14:textId="77777777" w:rsidTr="2D1735F5">
        <w:trPr>
          <w:cantSplit/>
          <w:tblHeader/>
        </w:trPr>
        <w:tc>
          <w:tcPr>
            <w:tcW w:w="1308" w:type="pct"/>
            <w:vMerge/>
          </w:tcPr>
          <w:p w14:paraId="08F7DCC0" w14:textId="77777777" w:rsidR="00003939" w:rsidRPr="007754D0" w:rsidRDefault="00003939" w:rsidP="007754D0">
            <w:pPr>
              <w:pStyle w:val="TableStyle"/>
              <w:rPr>
                <w:b/>
              </w:rPr>
            </w:pPr>
          </w:p>
        </w:tc>
        <w:tc>
          <w:tcPr>
            <w:tcW w:w="1734" w:type="pct"/>
            <w:shd w:val="clear" w:color="auto" w:fill="CAEDFB" w:themeFill="accent4" w:themeFillTint="33"/>
          </w:tcPr>
          <w:p w14:paraId="27DC61C8" w14:textId="784C2CFE" w:rsidR="00003939" w:rsidRPr="007754D0" w:rsidRDefault="007147FB" w:rsidP="007754D0">
            <w:pPr>
              <w:pStyle w:val="TableStyle"/>
              <w:jc w:val="center"/>
              <w:rPr>
                <w:b/>
              </w:rPr>
            </w:pPr>
            <w:r w:rsidRPr="007754D0">
              <w:rPr>
                <w:b/>
                <w:bCs/>
              </w:rPr>
              <w:t>Risk understanding</w:t>
            </w:r>
          </w:p>
        </w:tc>
        <w:tc>
          <w:tcPr>
            <w:tcW w:w="1958" w:type="pct"/>
            <w:shd w:val="clear" w:color="auto" w:fill="CAEDFB" w:themeFill="accent4" w:themeFillTint="33"/>
          </w:tcPr>
          <w:p w14:paraId="4CA00531" w14:textId="1B5C40C9" w:rsidR="00003939" w:rsidRPr="007754D0" w:rsidRDefault="007147FB" w:rsidP="007754D0">
            <w:pPr>
              <w:pStyle w:val="TableStyle"/>
              <w:jc w:val="center"/>
              <w:rPr>
                <w:b/>
              </w:rPr>
            </w:pPr>
            <w:r w:rsidRPr="007754D0">
              <w:rPr>
                <w:b/>
                <w:bCs/>
              </w:rPr>
              <w:t>Control effectiveness</w:t>
            </w:r>
          </w:p>
        </w:tc>
      </w:tr>
      <w:tr w:rsidR="00003939" w14:paraId="64E94EE5" w14:textId="77777777" w:rsidTr="2D1735F5">
        <w:tc>
          <w:tcPr>
            <w:tcW w:w="1308" w:type="pct"/>
          </w:tcPr>
          <w:p w14:paraId="497F3622" w14:textId="66392465" w:rsidR="00003939" w:rsidRPr="007754D0" w:rsidRDefault="007147FB" w:rsidP="007754D0">
            <w:pPr>
              <w:pStyle w:val="TableStyle"/>
              <w:rPr>
                <w:b/>
              </w:rPr>
            </w:pPr>
            <w:r w:rsidRPr="007754D0">
              <w:rPr>
                <w:b/>
                <w:bCs/>
              </w:rPr>
              <w:t>Low</w:t>
            </w:r>
          </w:p>
        </w:tc>
        <w:tc>
          <w:tcPr>
            <w:tcW w:w="1734" w:type="pct"/>
          </w:tcPr>
          <w:p w14:paraId="304C9403" w14:textId="1B2C38F9" w:rsidR="00003939" w:rsidRPr="005610D6" w:rsidRDefault="001946B4" w:rsidP="007754D0">
            <w:pPr>
              <w:pStyle w:val="TableStyle"/>
            </w:pPr>
            <w:r w:rsidRPr="005610D6">
              <w:t>The risk is understood</w:t>
            </w:r>
            <w:r w:rsidR="009E1BC8" w:rsidRPr="005610D6">
              <w:t xml:space="preserve"> at a conceptual level only. Additional technical studies are </w:t>
            </w:r>
            <w:r w:rsidR="002D5E46" w:rsidRPr="005610D6">
              <w:t xml:space="preserve">required to </w:t>
            </w:r>
            <w:r w:rsidR="005C128E" w:rsidRPr="005610D6">
              <w:t xml:space="preserve">further </w:t>
            </w:r>
            <w:r w:rsidR="00F15CD0" w:rsidRPr="005610D6">
              <w:t xml:space="preserve">understand the source, pathway, receptor, consequence and / or likelihood of this risk. </w:t>
            </w:r>
          </w:p>
        </w:tc>
        <w:tc>
          <w:tcPr>
            <w:tcW w:w="1958" w:type="pct"/>
          </w:tcPr>
          <w:p w14:paraId="4B506448" w14:textId="586892B1" w:rsidR="00003939" w:rsidRDefault="003159F5" w:rsidP="007147FB">
            <w:pPr>
              <w:pStyle w:val="TableStyle"/>
            </w:pPr>
            <w:r>
              <w:t xml:space="preserve">The control </w:t>
            </w:r>
            <w:r w:rsidR="00037A3F">
              <w:t xml:space="preserve">has not been applied </w:t>
            </w:r>
            <w:r w:rsidR="00D96C28">
              <w:t>at the site</w:t>
            </w:r>
            <w:r w:rsidR="001709AA">
              <w:t xml:space="preserve"> or more broadly within the mining industry. </w:t>
            </w:r>
            <w:r w:rsidR="00940316">
              <w:t>This a new control with little evidence to demonstrate its effectiveness.</w:t>
            </w:r>
          </w:p>
          <w:p w14:paraId="04D712E2" w14:textId="6348395F" w:rsidR="00B04721" w:rsidRDefault="00B04721" w:rsidP="007754D0">
            <w:pPr>
              <w:pStyle w:val="TableStyle"/>
            </w:pPr>
            <w:r>
              <w:t>The site</w:t>
            </w:r>
            <w:r w:rsidR="003159F5">
              <w:t>-</w:t>
            </w:r>
            <w:r>
              <w:t xml:space="preserve">specific </w:t>
            </w:r>
            <w:r w:rsidR="00DD1DC6">
              <w:t>procedures</w:t>
            </w:r>
            <w:r w:rsidR="00CB2C5D">
              <w:t xml:space="preserve"> </w:t>
            </w:r>
            <w:r w:rsidR="005A5501">
              <w:t>/</w:t>
            </w:r>
            <w:r w:rsidR="00746160">
              <w:t xml:space="preserve"> management plan</w:t>
            </w:r>
            <w:r w:rsidR="00473101">
              <w:t>s /</w:t>
            </w:r>
            <w:r w:rsidR="005A5501">
              <w:t xml:space="preserve"> </w:t>
            </w:r>
            <w:r w:rsidR="00BE3F06">
              <w:t xml:space="preserve">conceptual </w:t>
            </w:r>
            <w:r>
              <w:t xml:space="preserve">designs </w:t>
            </w:r>
            <w:r w:rsidR="00473101">
              <w:t xml:space="preserve">etc. </w:t>
            </w:r>
            <w:r>
              <w:t xml:space="preserve">have not been developed. </w:t>
            </w:r>
            <w:r w:rsidR="00BE3F06">
              <w:t>No trials (with supporting data) have been undertaken at the site.</w:t>
            </w:r>
          </w:p>
        </w:tc>
      </w:tr>
      <w:tr w:rsidR="007147FB" w14:paraId="280EEA03" w14:textId="77777777" w:rsidTr="2D1735F5">
        <w:tc>
          <w:tcPr>
            <w:tcW w:w="1308" w:type="pct"/>
          </w:tcPr>
          <w:p w14:paraId="60317EB3" w14:textId="1B58A875" w:rsidR="007147FB" w:rsidRPr="007754D0" w:rsidRDefault="007147FB" w:rsidP="007147FB">
            <w:pPr>
              <w:pStyle w:val="TableStyle"/>
              <w:rPr>
                <w:b/>
                <w:bCs/>
              </w:rPr>
            </w:pPr>
            <w:r w:rsidRPr="007754D0">
              <w:rPr>
                <w:b/>
                <w:bCs/>
              </w:rPr>
              <w:lastRenderedPageBreak/>
              <w:t>Medium</w:t>
            </w:r>
          </w:p>
        </w:tc>
        <w:tc>
          <w:tcPr>
            <w:tcW w:w="1734" w:type="pct"/>
          </w:tcPr>
          <w:p w14:paraId="65D689D3" w14:textId="740D7F72" w:rsidR="007147FB" w:rsidRPr="005610D6" w:rsidRDefault="00845647" w:rsidP="007147FB">
            <w:pPr>
              <w:pStyle w:val="TableStyle"/>
            </w:pPr>
            <w:r w:rsidRPr="005610D6">
              <w:t>O</w:t>
            </w:r>
            <w:r w:rsidR="00720D99" w:rsidRPr="005610D6">
              <w:t xml:space="preserve">ne </w:t>
            </w:r>
            <w:r w:rsidR="00F504B1" w:rsidRPr="005610D6">
              <w:t>or more aspects of the SPR are well understood</w:t>
            </w:r>
            <w:r w:rsidR="00BF451B" w:rsidRPr="005610D6">
              <w:t xml:space="preserve"> and is </w:t>
            </w:r>
            <w:r w:rsidR="00AF6421" w:rsidRPr="005610D6">
              <w:t>backed by supporting data.</w:t>
            </w:r>
          </w:p>
        </w:tc>
        <w:tc>
          <w:tcPr>
            <w:tcW w:w="1958" w:type="pct"/>
          </w:tcPr>
          <w:p w14:paraId="17B9D957" w14:textId="7BE4DE61" w:rsidR="007147FB" w:rsidRDefault="003159F5" w:rsidP="007147FB">
            <w:pPr>
              <w:pStyle w:val="TableStyle"/>
            </w:pPr>
            <w:r>
              <w:t>The control</w:t>
            </w:r>
            <w:r w:rsidR="00F11887">
              <w:t xml:space="preserve"> has not been applied at the site before but has been applied more broadly within the mining industry </w:t>
            </w:r>
            <w:r w:rsidR="008C480A">
              <w:t>or is an industry accepted control</w:t>
            </w:r>
            <w:r w:rsidR="00F11887">
              <w:t xml:space="preserve">. </w:t>
            </w:r>
            <w:r w:rsidR="00940316">
              <w:t xml:space="preserve">There is some evidence which demonstrates the effectiveness of this control (e.g., case studies </w:t>
            </w:r>
            <w:r w:rsidR="00166AEE">
              <w:t>at other sites,</w:t>
            </w:r>
            <w:r w:rsidR="00186EE9">
              <w:t xml:space="preserve"> calibrated</w:t>
            </w:r>
            <w:r w:rsidR="008C480A">
              <w:t xml:space="preserve"> </w:t>
            </w:r>
            <w:r w:rsidR="00D07C95">
              <w:t xml:space="preserve">modelling, </w:t>
            </w:r>
            <w:r w:rsidR="008C480A">
              <w:t xml:space="preserve">tested specifications). </w:t>
            </w:r>
          </w:p>
          <w:p w14:paraId="72725AB6" w14:textId="7AB453FF" w:rsidR="00BE3F06" w:rsidRDefault="00473101" w:rsidP="007147FB">
            <w:pPr>
              <w:pStyle w:val="TableStyle"/>
            </w:pPr>
            <w:r>
              <w:t xml:space="preserve">Site specific procedures / management plans / conceptual designs etc. </w:t>
            </w:r>
            <w:r w:rsidR="00BE3F06">
              <w:t xml:space="preserve">have been </w:t>
            </w:r>
            <w:r w:rsidR="00D83567">
              <w:t>developed</w:t>
            </w:r>
            <w:r w:rsidR="00914718">
              <w:t>, but further work is required to finalise</w:t>
            </w:r>
            <w:r w:rsidR="00B11F59">
              <w:t>.</w:t>
            </w:r>
          </w:p>
        </w:tc>
      </w:tr>
      <w:tr w:rsidR="007147FB" w14:paraId="748A60FA" w14:textId="77777777" w:rsidTr="2D1735F5">
        <w:tc>
          <w:tcPr>
            <w:tcW w:w="1308" w:type="pct"/>
          </w:tcPr>
          <w:p w14:paraId="3DBA28B6" w14:textId="7236DFBB" w:rsidR="007147FB" w:rsidRPr="007754D0" w:rsidRDefault="007147FB" w:rsidP="007147FB">
            <w:pPr>
              <w:pStyle w:val="TableStyle"/>
              <w:rPr>
                <w:b/>
                <w:bCs/>
              </w:rPr>
            </w:pPr>
            <w:r w:rsidRPr="007754D0">
              <w:rPr>
                <w:b/>
                <w:bCs/>
              </w:rPr>
              <w:t>High</w:t>
            </w:r>
          </w:p>
        </w:tc>
        <w:tc>
          <w:tcPr>
            <w:tcW w:w="1734" w:type="pct"/>
          </w:tcPr>
          <w:p w14:paraId="7AB6E352" w14:textId="293A22DC" w:rsidR="007147FB" w:rsidRPr="005610D6" w:rsidRDefault="0B65E008" w:rsidP="007147FB">
            <w:pPr>
              <w:pStyle w:val="TableStyle"/>
            </w:pPr>
            <w:r>
              <w:t xml:space="preserve">All aspects of this </w:t>
            </w:r>
            <w:r w:rsidR="3374F9B6">
              <w:t xml:space="preserve">risk </w:t>
            </w:r>
            <w:r w:rsidR="469F59C0">
              <w:t xml:space="preserve">are </w:t>
            </w:r>
            <w:r w:rsidR="3374F9B6">
              <w:t>well understood</w:t>
            </w:r>
            <w:r w:rsidR="2B4DBF5A">
              <w:t xml:space="preserve">. </w:t>
            </w:r>
          </w:p>
          <w:p w14:paraId="6C158421" w14:textId="2B0B0AD8" w:rsidR="00960002" w:rsidRDefault="00960002" w:rsidP="007147FB">
            <w:pPr>
              <w:pStyle w:val="TableStyle"/>
            </w:pPr>
            <w:r w:rsidRPr="0031300D">
              <w:t>There is data supporting the understanding of the risk.</w:t>
            </w:r>
          </w:p>
          <w:p w14:paraId="29B8B479" w14:textId="5821EDAB" w:rsidR="007147FB" w:rsidRPr="005610D6" w:rsidRDefault="4AFB2C14" w:rsidP="007147FB">
            <w:pPr>
              <w:pStyle w:val="TableStyle"/>
            </w:pPr>
            <w:r>
              <w:t>Risk</w:t>
            </w:r>
            <w:r w:rsidR="2E2693D9">
              <w:t>s of this type have</w:t>
            </w:r>
            <w:r w:rsidR="008B1E11">
              <w:t xml:space="preserve"> </w:t>
            </w:r>
            <w:r>
              <w:t>been identified and managed during operations</w:t>
            </w:r>
            <w:r w:rsidR="329D5D34">
              <w:t xml:space="preserve">. </w:t>
            </w:r>
          </w:p>
        </w:tc>
        <w:tc>
          <w:tcPr>
            <w:tcW w:w="1958" w:type="pct"/>
          </w:tcPr>
          <w:p w14:paraId="2067FAC3" w14:textId="4AF9D933" w:rsidR="00091626" w:rsidRDefault="008C480A" w:rsidP="007147FB">
            <w:pPr>
              <w:pStyle w:val="TableStyle"/>
            </w:pPr>
            <w:r>
              <w:t>Th</w:t>
            </w:r>
            <w:r w:rsidR="000A04ED">
              <w:t>e</w:t>
            </w:r>
            <w:r>
              <w:t xml:space="preserve"> control has been previously applied to the site</w:t>
            </w:r>
            <w:r w:rsidR="00CA04FB">
              <w:t xml:space="preserve"> with evidence which demonstrates that this control is effective (e.g., through</w:t>
            </w:r>
            <w:r w:rsidR="00166AEE">
              <w:t xml:space="preserve"> site-specific trials</w:t>
            </w:r>
            <w:r w:rsidR="00186EE9">
              <w:t xml:space="preserve"> a</w:t>
            </w:r>
            <w:r w:rsidR="00186EE9" w:rsidRPr="00186EE9">
              <w:t>nd calibrated/validated modelling and predictive uncertainty analysis</w:t>
            </w:r>
            <w:r w:rsidR="00611314">
              <w:t>).</w:t>
            </w:r>
            <w:r w:rsidR="00DB224E">
              <w:t xml:space="preserve"> </w:t>
            </w:r>
          </w:p>
          <w:p w14:paraId="2DF03E14" w14:textId="73075718" w:rsidR="007147FB" w:rsidRDefault="00DB224E" w:rsidP="007147FB">
            <w:pPr>
              <w:pStyle w:val="TableStyle"/>
            </w:pPr>
            <w:r>
              <w:t>Site specific procedures / management plans / detailed designs etc.</w:t>
            </w:r>
            <w:r w:rsidR="00091626">
              <w:t xml:space="preserve"> </w:t>
            </w:r>
            <w:r w:rsidR="00447864">
              <w:t xml:space="preserve">have been developed </w:t>
            </w:r>
            <w:r w:rsidR="00091626">
              <w:t>&amp; trials undertaken</w:t>
            </w:r>
            <w:r w:rsidR="00845647">
              <w:t>, data collected.</w:t>
            </w:r>
          </w:p>
        </w:tc>
      </w:tr>
    </w:tbl>
    <w:p w14:paraId="61B05B0F" w14:textId="4B18CDAD" w:rsidR="00003939" w:rsidRPr="007754D0" w:rsidRDefault="00C91319" w:rsidP="00810913">
      <w:pPr>
        <w:rPr>
          <w:sz w:val="18"/>
          <w:szCs w:val="20"/>
        </w:rPr>
      </w:pPr>
      <w:r w:rsidRPr="007754D0">
        <w:rPr>
          <w:sz w:val="18"/>
          <w:szCs w:val="20"/>
        </w:rPr>
        <w:t xml:space="preserve">* </w:t>
      </w:r>
      <w:r w:rsidR="00214297" w:rsidRPr="007754D0">
        <w:rPr>
          <w:sz w:val="18"/>
          <w:szCs w:val="20"/>
        </w:rPr>
        <w:t xml:space="preserve">The supporting evidence </w:t>
      </w:r>
      <w:r w:rsidR="00784433" w:rsidRPr="007754D0">
        <w:rPr>
          <w:sz w:val="18"/>
          <w:szCs w:val="20"/>
        </w:rPr>
        <w:t>to demonstrate the certainty rating</w:t>
      </w:r>
      <w:r w:rsidR="00214297" w:rsidRPr="007754D0">
        <w:rPr>
          <w:sz w:val="18"/>
          <w:szCs w:val="20"/>
        </w:rPr>
        <w:t xml:space="preserve"> </w:t>
      </w:r>
      <w:r w:rsidR="00CA100B" w:rsidRPr="007754D0">
        <w:rPr>
          <w:sz w:val="18"/>
          <w:szCs w:val="20"/>
        </w:rPr>
        <w:t>should also be provided</w:t>
      </w:r>
      <w:r w:rsidR="004672A6" w:rsidRPr="007754D0">
        <w:rPr>
          <w:sz w:val="18"/>
          <w:szCs w:val="20"/>
        </w:rPr>
        <w:t xml:space="preserve">. </w:t>
      </w:r>
    </w:p>
    <w:p w14:paraId="7068A782" w14:textId="2322B019" w:rsidR="00327761" w:rsidRPr="007754D0" w:rsidRDefault="00810913" w:rsidP="00810913">
      <w:r>
        <w:t xml:space="preserve">It is acknowledged that the detail of the </w:t>
      </w:r>
      <w:r w:rsidR="006148B5">
        <w:t>post closure</w:t>
      </w:r>
      <w:r>
        <w:t xml:space="preserve"> risk assessment</w:t>
      </w:r>
      <w:r w:rsidR="00FF2FF1">
        <w:t xml:space="preserve"> (and number of assumptions)</w:t>
      </w:r>
      <w:r>
        <w:t xml:space="preserve">, will be proportional to the </w:t>
      </w:r>
      <w:r w:rsidR="00941696">
        <w:t xml:space="preserve">level of uncertainty and </w:t>
      </w:r>
      <w:r>
        <w:t>information available</w:t>
      </w:r>
      <w:r w:rsidR="00171714">
        <w:t>, and the agreed risk appetite</w:t>
      </w:r>
      <w:r w:rsidR="00880C0D">
        <w:t>.</w:t>
      </w:r>
      <w:r>
        <w:t xml:space="preserve"> </w:t>
      </w:r>
      <w:r w:rsidR="009B3685">
        <w:t xml:space="preserve">Confidence levels </w:t>
      </w:r>
      <w:r>
        <w:t>will vary depending on the mine’s position within its lifecycle i.e., for a mine which is still operation</w:t>
      </w:r>
      <w:r w:rsidR="3E71EE0A">
        <w:t>al,</w:t>
      </w:r>
      <w:r>
        <w:t xml:space="preserve"> the </w:t>
      </w:r>
      <w:r w:rsidR="006148B5">
        <w:t>post closure</w:t>
      </w:r>
      <w:r>
        <w:t xml:space="preserve"> risk assessment is expected to be at a </w:t>
      </w:r>
      <w:r w:rsidR="00C42B03">
        <w:t xml:space="preserve">lower </w:t>
      </w:r>
      <w:r>
        <w:t>level</w:t>
      </w:r>
      <w:r w:rsidR="00C42B03">
        <w:t xml:space="preserve"> of confidence</w:t>
      </w:r>
      <w:r>
        <w:t xml:space="preserve">, compared to </w:t>
      </w:r>
      <w:r w:rsidR="00C155AA">
        <w:t xml:space="preserve">a </w:t>
      </w:r>
      <w:r>
        <w:t>mine</w:t>
      </w:r>
      <w:r w:rsidR="00C155AA">
        <w:t xml:space="preserve"> </w:t>
      </w:r>
      <w:r w:rsidR="28A02C49">
        <w:t xml:space="preserve">which is </w:t>
      </w:r>
      <w:r w:rsidR="00C155AA">
        <w:t xml:space="preserve">within a couple of years of </w:t>
      </w:r>
      <w:r w:rsidR="00506F2D">
        <w:t xml:space="preserve">cessation of operations </w:t>
      </w:r>
      <w:r w:rsidR="00D326E7">
        <w:t xml:space="preserve">or </w:t>
      </w:r>
      <w:r>
        <w:t xml:space="preserve">has already commenced </w:t>
      </w:r>
      <w:r w:rsidR="008A5CB9">
        <w:t xml:space="preserve">the </w:t>
      </w:r>
      <w:r>
        <w:t xml:space="preserve">rehabilitation </w:t>
      </w:r>
      <w:r w:rsidR="00D326E7">
        <w:t>phase</w:t>
      </w:r>
      <w:r w:rsidR="009B3685">
        <w:t xml:space="preserve">, where more </w:t>
      </w:r>
      <w:r w:rsidR="00F902DD">
        <w:t xml:space="preserve">finalised designs, </w:t>
      </w:r>
      <w:r w:rsidR="00755D4B">
        <w:t>technical studies</w:t>
      </w:r>
      <w:r w:rsidR="00F902DD">
        <w:t xml:space="preserve"> and data would be expected to be available</w:t>
      </w:r>
      <w:r>
        <w:t xml:space="preserve">. </w:t>
      </w:r>
    </w:p>
    <w:p w14:paraId="6BA11089" w14:textId="6DDF80E6" w:rsidR="004F500F" w:rsidRDefault="004F500F" w:rsidP="00732495">
      <w:pPr>
        <w:pStyle w:val="Heading1"/>
      </w:pPr>
      <w:bookmarkStart w:id="64" w:name="_Ref209517315"/>
      <w:bookmarkStart w:id="65" w:name="_Toc215653663"/>
      <w:bookmarkStart w:id="66" w:name="_Toc220407022"/>
      <w:r>
        <w:t xml:space="preserve">Risk </w:t>
      </w:r>
      <w:r w:rsidR="006442C2">
        <w:t>Tools</w:t>
      </w:r>
      <w:bookmarkEnd w:id="64"/>
      <w:bookmarkEnd w:id="65"/>
      <w:bookmarkEnd w:id="66"/>
    </w:p>
    <w:p w14:paraId="7E4B5AF1" w14:textId="14AB5452" w:rsidR="004F500F" w:rsidRDefault="004F500F" w:rsidP="004F500F">
      <w:r>
        <w:t>To support the risk assessment process, a series of risk assessment tools and methods are available. The selection of risk assessment methods depends on factors such as</w:t>
      </w:r>
      <w:r w:rsidR="00C91B15">
        <w:t>:</w:t>
      </w:r>
    </w:p>
    <w:p w14:paraId="402992E8" w14:textId="46CCA754" w:rsidR="004F500F" w:rsidRDefault="004F500F" w:rsidP="00904A18">
      <w:pPr>
        <w:pStyle w:val="ListParagraph"/>
        <w:numPr>
          <w:ilvl w:val="0"/>
          <w:numId w:val="3"/>
        </w:numPr>
        <w:rPr>
          <w:szCs w:val="20"/>
        </w:rPr>
      </w:pPr>
      <w:r>
        <w:t xml:space="preserve">the reason why the risk assessment is being undertaken </w:t>
      </w:r>
    </w:p>
    <w:p w14:paraId="713ED888" w14:textId="2E908CC0" w:rsidR="004F500F" w:rsidRDefault="004F500F" w:rsidP="00904A18">
      <w:pPr>
        <w:pStyle w:val="ListParagraph"/>
        <w:numPr>
          <w:ilvl w:val="0"/>
          <w:numId w:val="3"/>
        </w:numPr>
        <w:rPr>
          <w:szCs w:val="20"/>
        </w:rPr>
      </w:pPr>
      <w:r>
        <w:t xml:space="preserve">the quantity and quality of supporting data, and </w:t>
      </w:r>
    </w:p>
    <w:p w14:paraId="063B26D3" w14:textId="620F173D" w:rsidR="004F500F" w:rsidRDefault="004F500F" w:rsidP="00904A18">
      <w:pPr>
        <w:pStyle w:val="ListParagraph"/>
        <w:numPr>
          <w:ilvl w:val="0"/>
          <w:numId w:val="3"/>
        </w:numPr>
        <w:rPr>
          <w:szCs w:val="20"/>
        </w:rPr>
      </w:pPr>
      <w:r>
        <w:t>the required rigour warranted to assess the consequences of risk</w:t>
      </w:r>
      <w:r>
        <w:rPr>
          <w:rStyle w:val="FootnoteReference"/>
        </w:rPr>
        <w:footnoteReference w:id="35"/>
      </w:r>
      <w:r>
        <w:rPr>
          <w:vertAlign w:val="superscript"/>
        </w:rPr>
        <w:t>,</w:t>
      </w:r>
      <w:r>
        <w:rPr>
          <w:rStyle w:val="FootnoteReference"/>
        </w:rPr>
        <w:footnoteReference w:id="36"/>
      </w:r>
      <w:r>
        <w:t xml:space="preserve">. </w:t>
      </w:r>
    </w:p>
    <w:p w14:paraId="4CB83E2B" w14:textId="1265FB0B" w:rsidR="004F500F" w:rsidRDefault="004F500F" w:rsidP="5303301D">
      <w:pPr>
        <w:rPr>
          <w:szCs w:val="20"/>
        </w:rPr>
      </w:pPr>
      <w:r>
        <w:t xml:space="preserve">Some common risk assessment tools </w:t>
      </w:r>
      <w:r w:rsidR="673ECD2F">
        <w:t>include</w:t>
      </w:r>
      <w:r w:rsidR="00C91B15">
        <w:t>:</w:t>
      </w:r>
      <w:r>
        <w:t xml:space="preserve"> </w:t>
      </w:r>
    </w:p>
    <w:p w14:paraId="5168BE79" w14:textId="343C2745" w:rsidR="004F500F" w:rsidRDefault="004F500F" w:rsidP="00904A18">
      <w:pPr>
        <w:pStyle w:val="ListParagraph"/>
        <w:numPr>
          <w:ilvl w:val="0"/>
          <w:numId w:val="2"/>
        </w:numPr>
        <w:rPr>
          <w:szCs w:val="20"/>
        </w:rPr>
      </w:pPr>
      <w:r>
        <w:t xml:space="preserve">risk matrices </w:t>
      </w:r>
    </w:p>
    <w:p w14:paraId="26F9CF33" w14:textId="02BB4F2C" w:rsidR="004F500F" w:rsidRDefault="004F500F" w:rsidP="00904A18">
      <w:pPr>
        <w:pStyle w:val="ListParagraph"/>
        <w:numPr>
          <w:ilvl w:val="0"/>
          <w:numId w:val="2"/>
        </w:numPr>
        <w:rPr>
          <w:szCs w:val="20"/>
        </w:rPr>
      </w:pPr>
      <w:r>
        <w:t xml:space="preserve">source-pathway-receptor (SPR) </w:t>
      </w:r>
    </w:p>
    <w:p w14:paraId="04D835D0" w14:textId="66D8FAF0" w:rsidR="004F500F" w:rsidRDefault="004F500F" w:rsidP="00904A18">
      <w:pPr>
        <w:pStyle w:val="ListParagraph"/>
        <w:numPr>
          <w:ilvl w:val="0"/>
          <w:numId w:val="2"/>
        </w:numPr>
        <w:rPr>
          <w:szCs w:val="20"/>
        </w:rPr>
      </w:pPr>
      <w:r>
        <w:lastRenderedPageBreak/>
        <w:t xml:space="preserve">decision trees </w:t>
      </w:r>
    </w:p>
    <w:p w14:paraId="3B9A2AB3" w14:textId="1046BD92" w:rsidR="004F500F" w:rsidRPr="00FD0733" w:rsidRDefault="004F500F" w:rsidP="00904A18">
      <w:pPr>
        <w:pStyle w:val="ListParagraph"/>
        <w:numPr>
          <w:ilvl w:val="0"/>
          <w:numId w:val="2"/>
        </w:numPr>
        <w:rPr>
          <w:szCs w:val="20"/>
        </w:rPr>
      </w:pPr>
      <w:r>
        <w:t>failure modes and</w:t>
      </w:r>
      <w:r w:rsidR="00FD0733">
        <w:t xml:space="preserve"> </w:t>
      </w:r>
      <w:r>
        <w:t xml:space="preserve">effects analysis (FMEA) and </w:t>
      </w:r>
    </w:p>
    <w:p w14:paraId="21F92DA8" w14:textId="28B887C1" w:rsidR="004F500F" w:rsidRDefault="004F500F" w:rsidP="00904A18">
      <w:pPr>
        <w:pStyle w:val="ListParagraph"/>
        <w:numPr>
          <w:ilvl w:val="0"/>
          <w:numId w:val="2"/>
        </w:numPr>
        <w:rPr>
          <w:szCs w:val="20"/>
        </w:rPr>
      </w:pPr>
      <w:r>
        <w:t xml:space="preserve">bowtie models. </w:t>
      </w:r>
    </w:p>
    <w:p w14:paraId="0D91C829" w14:textId="7798DADB" w:rsidR="004F500F" w:rsidRDefault="004F500F" w:rsidP="5303301D">
      <w:pPr>
        <w:rPr>
          <w:szCs w:val="20"/>
        </w:rPr>
      </w:pPr>
      <w:r>
        <w:t xml:space="preserve">Some of these methods / tools are discussed further below, with </w:t>
      </w:r>
      <w:r w:rsidR="00DE3F72">
        <w:fldChar w:fldCharType="begin"/>
      </w:r>
      <w:r w:rsidR="00DE3F72">
        <w:instrText xml:space="preserve"> REF _Ref209519560 \h </w:instrText>
      </w:r>
      <w:r w:rsidR="00DE3F72">
        <w:fldChar w:fldCharType="separate"/>
      </w:r>
      <w:r w:rsidR="001C0481">
        <w:t xml:space="preserve">Figure </w:t>
      </w:r>
      <w:r w:rsidR="001C0481">
        <w:rPr>
          <w:noProof/>
        </w:rPr>
        <w:t>3</w:t>
      </w:r>
      <w:r w:rsidR="00DE3F72">
        <w:fldChar w:fldCharType="end"/>
      </w:r>
      <w:r>
        <w:t xml:space="preserve"> presenting how these tools vary based on the rigour of analysis.  </w:t>
      </w:r>
    </w:p>
    <w:p w14:paraId="2CB87B0D" w14:textId="77777777" w:rsidR="004F500F" w:rsidRDefault="004F500F" w:rsidP="004F500F">
      <w:pPr>
        <w:keepNext/>
      </w:pPr>
      <w:r w:rsidRPr="00E46DAD">
        <w:rPr>
          <w:noProof/>
        </w:rPr>
        <w:drawing>
          <wp:inline distT="0" distB="0" distL="0" distR="0" wp14:anchorId="79985D93" wp14:editId="7A76E983">
            <wp:extent cx="4857664" cy="2320119"/>
            <wp:effectExtent l="0" t="0" r="635" b="4445"/>
            <wp:docPr id="982934019" name="Picture 1" descr="A diagram of data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34019" name="Picture 1" descr="A diagram of data analysis"/>
                    <pic:cNvPicPr/>
                  </pic:nvPicPr>
                  <pic:blipFill>
                    <a:blip r:embed="rId22"/>
                    <a:stretch>
                      <a:fillRect/>
                    </a:stretch>
                  </pic:blipFill>
                  <pic:spPr>
                    <a:xfrm>
                      <a:off x="0" y="0"/>
                      <a:ext cx="4879204" cy="2330407"/>
                    </a:xfrm>
                    <a:prstGeom prst="rect">
                      <a:avLst/>
                    </a:prstGeom>
                  </pic:spPr>
                </pic:pic>
              </a:graphicData>
            </a:graphic>
          </wp:inline>
        </w:drawing>
      </w:r>
    </w:p>
    <w:p w14:paraId="3C55775E" w14:textId="5B6C3B15" w:rsidR="004F500F" w:rsidRDefault="4487948F" w:rsidP="004F500F">
      <w:pPr>
        <w:pStyle w:val="Caption"/>
      </w:pPr>
      <w:bookmarkStart w:id="67" w:name="_Ref209519560"/>
      <w:r>
        <w:t xml:space="preserve">Figure </w:t>
      </w:r>
      <w:r w:rsidR="000D5CF7">
        <w:fldChar w:fldCharType="begin"/>
      </w:r>
      <w:r w:rsidR="000D5CF7">
        <w:instrText xml:space="preserve"> SEQ Figure \* ARABIC </w:instrText>
      </w:r>
      <w:r w:rsidR="000D5CF7">
        <w:fldChar w:fldCharType="separate"/>
      </w:r>
      <w:r w:rsidR="001C0481">
        <w:rPr>
          <w:noProof/>
        </w:rPr>
        <w:t>3</w:t>
      </w:r>
      <w:r w:rsidR="000D5CF7">
        <w:rPr>
          <w:noProof/>
        </w:rPr>
        <w:fldChar w:fldCharType="end"/>
      </w:r>
      <w:bookmarkEnd w:id="67"/>
      <w:r w:rsidR="004F500F">
        <w:tab/>
      </w:r>
      <w:r w:rsidRPr="00030454">
        <w:t>Spectrum of risk analysis with increasing analysis rigour with increasing quality of data and understanding from left to right (adapted from NRC 2010</w:t>
      </w:r>
      <w:r>
        <w:t>, sourced from CSIRO 2025</w:t>
      </w:r>
      <w:r w:rsidR="004F500F">
        <w:rPr>
          <w:rStyle w:val="FootnoteReference"/>
        </w:rPr>
        <w:footnoteReference w:id="37"/>
      </w:r>
      <w:r>
        <w:t>)</w:t>
      </w:r>
      <w:r w:rsidRPr="00030454">
        <w:t>.</w:t>
      </w:r>
    </w:p>
    <w:p w14:paraId="42E56FB5" w14:textId="3A66F297" w:rsidR="00ED4707" w:rsidRDefault="00ED4707" w:rsidP="004F500F">
      <w:pPr>
        <w:pStyle w:val="Heading2"/>
      </w:pPr>
      <w:bookmarkStart w:id="68" w:name="_Toc215653664"/>
      <w:bookmarkStart w:id="69" w:name="_Toc220407023"/>
      <w:r>
        <w:t>SPR</w:t>
      </w:r>
      <w:bookmarkEnd w:id="68"/>
      <w:bookmarkEnd w:id="69"/>
    </w:p>
    <w:p w14:paraId="74ECFB52" w14:textId="153E63D4" w:rsidR="00A77C96" w:rsidRPr="00ED4707" w:rsidRDefault="00EF42D9" w:rsidP="00732495">
      <w:r>
        <w:t>T</w:t>
      </w:r>
      <w:r w:rsidR="00A77C96">
        <w:t>he SPR linkages</w:t>
      </w:r>
      <w:r>
        <w:t xml:space="preserve">, developed through the CSM process in </w:t>
      </w:r>
      <w:r w:rsidRPr="00A22B40">
        <w:t xml:space="preserve">Section </w:t>
      </w:r>
      <w:r w:rsidR="00BC482A" w:rsidRPr="00A22B40">
        <w:fldChar w:fldCharType="begin"/>
      </w:r>
      <w:r w:rsidR="00BC482A" w:rsidRPr="00561E0A">
        <w:instrText xml:space="preserve"> REF _Ref209439258 \r \h </w:instrText>
      </w:r>
      <w:r w:rsidR="00BC482A">
        <w:instrText xml:space="preserve"> \* MERGEFORMAT </w:instrText>
      </w:r>
      <w:r w:rsidR="00BC482A" w:rsidRPr="00A22B40">
        <w:fldChar w:fldCharType="separate"/>
      </w:r>
      <w:r w:rsidR="001C0481">
        <w:t>5.3.1</w:t>
      </w:r>
      <w:r w:rsidR="00BC482A" w:rsidRPr="00A22B40">
        <w:fldChar w:fldCharType="end"/>
      </w:r>
      <w:r>
        <w:t xml:space="preserve">, </w:t>
      </w:r>
      <w:r w:rsidR="00A77C96">
        <w:t xml:space="preserve">can be used to form the basis of the risk assessment. An example of a risk register, utilising the SPR model, is presented in </w:t>
      </w:r>
      <w:r w:rsidR="00A77C96">
        <w:fldChar w:fldCharType="begin"/>
      </w:r>
      <w:r w:rsidR="00A77C96">
        <w:instrText xml:space="preserve"> REF _Ref209435884 \h </w:instrText>
      </w:r>
      <w:r w:rsidR="00A77C96">
        <w:fldChar w:fldCharType="separate"/>
      </w:r>
      <w:r w:rsidR="001C0481">
        <w:t>Appendix A: Example Risk Register</w:t>
      </w:r>
      <w:r w:rsidR="00A77C96">
        <w:fldChar w:fldCharType="end"/>
      </w:r>
      <w:r w:rsidR="00A77C96">
        <w:t xml:space="preserve">. </w:t>
      </w:r>
    </w:p>
    <w:p w14:paraId="600AC459" w14:textId="77777777" w:rsidR="004F500F" w:rsidRDefault="004F500F" w:rsidP="00732495">
      <w:pPr>
        <w:pStyle w:val="Heading2"/>
      </w:pPr>
      <w:bookmarkStart w:id="70" w:name="_Toc215653665"/>
      <w:bookmarkStart w:id="71" w:name="_Toc220407024"/>
      <w:r>
        <w:t>Failure Modes Effect Analysis</w:t>
      </w:r>
      <w:bookmarkEnd w:id="70"/>
      <w:bookmarkEnd w:id="71"/>
    </w:p>
    <w:p w14:paraId="181B787B" w14:textId="253FA499" w:rsidR="004F500F" w:rsidRDefault="004F500F" w:rsidP="004F500F">
      <w:r>
        <w:t>Failure Modes Effects Analysis (FMEA) is a structured risk assessment tool</w:t>
      </w:r>
      <w:r w:rsidR="5754044C">
        <w:t xml:space="preserve"> used to </w:t>
      </w:r>
      <w:r>
        <w:t xml:space="preserve">assess potential failure modes of a system. It </w:t>
      </w:r>
      <w:r w:rsidR="5386C559">
        <w:t xml:space="preserve">evaluates </w:t>
      </w:r>
      <w:r>
        <w:t>the likelihood of failure</w:t>
      </w:r>
      <w:r w:rsidR="0B57CE68">
        <w:t>s in</w:t>
      </w:r>
      <w:r w:rsidR="000D5CF7">
        <w:t xml:space="preserve"> </w:t>
      </w:r>
      <w:r>
        <w:t xml:space="preserve">structures, equipment and processes </w:t>
      </w:r>
      <w:r w:rsidR="4F41E61C">
        <w:t xml:space="preserve">as well as </w:t>
      </w:r>
      <w:r>
        <w:t xml:space="preserve">the effects of </w:t>
      </w:r>
      <w:r w:rsidR="449DBEFA">
        <w:t xml:space="preserve">those </w:t>
      </w:r>
      <w:r>
        <w:t>failures on larger systems</w:t>
      </w:r>
      <w:r w:rsidR="00FE3D6A">
        <w:t xml:space="preserve"> and </w:t>
      </w:r>
      <w:r w:rsidR="1734A2CD">
        <w:t xml:space="preserve">the </w:t>
      </w:r>
      <w:r>
        <w:t xml:space="preserve">surrounding environment. </w:t>
      </w:r>
    </w:p>
    <w:p w14:paraId="70E9BA9B" w14:textId="18000AE3" w:rsidR="004F500F" w:rsidRDefault="004F500F" w:rsidP="004F500F">
      <w:r>
        <w:t xml:space="preserve">There are </w:t>
      </w:r>
      <w:r w:rsidR="612DC89B">
        <w:t>several</w:t>
      </w:r>
      <w:r w:rsidR="000D5CF7">
        <w:t xml:space="preserve"> </w:t>
      </w:r>
      <w:r>
        <w:t xml:space="preserve">benefits </w:t>
      </w:r>
      <w:r w:rsidR="1DE30799">
        <w:t xml:space="preserve">to </w:t>
      </w:r>
      <w:r>
        <w:t>utilising FMEA to assess the failure modes of the final landform and associated structures</w:t>
      </w:r>
      <w:r w:rsidR="1E8C48DB">
        <w:t>, including</w:t>
      </w:r>
      <w:r>
        <w:t>:</w:t>
      </w:r>
    </w:p>
    <w:p w14:paraId="51A8C7CA" w14:textId="6EC97BB2" w:rsidR="004F500F" w:rsidRDefault="36353BAC" w:rsidP="00904A18">
      <w:pPr>
        <w:pStyle w:val="ListParagraph"/>
        <w:numPr>
          <w:ilvl w:val="0"/>
          <w:numId w:val="20"/>
        </w:numPr>
      </w:pPr>
      <w:r>
        <w:t xml:space="preserve">providing </w:t>
      </w:r>
      <w:r w:rsidR="004F500F">
        <w:t>a robust method of testing landform</w:t>
      </w:r>
      <w:r w:rsidR="77C65721">
        <w:t>s</w:t>
      </w:r>
      <w:r w:rsidR="004F500F">
        <w:t xml:space="preserve"> and controls </w:t>
      </w:r>
      <w:r w:rsidR="4AF055D1">
        <w:t xml:space="preserve">against </w:t>
      </w:r>
      <w:r w:rsidR="004F500F">
        <w:t>worst</w:t>
      </w:r>
      <w:r w:rsidR="2F5B7E79">
        <w:t>-case</w:t>
      </w:r>
      <w:r w:rsidR="00B2623D">
        <w:t xml:space="preserve"> </w:t>
      </w:r>
      <w:r w:rsidR="004F500F">
        <w:t xml:space="preserve">events, which </w:t>
      </w:r>
      <w:r w:rsidR="1C648CAA">
        <w:t>may be overlooked</w:t>
      </w:r>
      <w:r w:rsidR="00B2623D">
        <w:t xml:space="preserve"> </w:t>
      </w:r>
      <w:r w:rsidR="004F500F">
        <w:t xml:space="preserve">in other forms of risk assessment, </w:t>
      </w:r>
    </w:p>
    <w:p w14:paraId="2208A9C4" w14:textId="577B02FF" w:rsidR="004F500F" w:rsidRDefault="69080F62" w:rsidP="00904A18">
      <w:pPr>
        <w:pStyle w:val="ListParagraph"/>
        <w:numPr>
          <w:ilvl w:val="0"/>
          <w:numId w:val="20"/>
        </w:numPr>
      </w:pPr>
      <w:r>
        <w:t>offering</w:t>
      </w:r>
      <w:r w:rsidR="004F500F">
        <w:t xml:space="preserve"> a feedback loop to improve closure design, controls and mitigation</w:t>
      </w:r>
      <w:r w:rsidR="2B4E301B">
        <w:t>s</w:t>
      </w:r>
    </w:p>
    <w:p w14:paraId="53057769" w14:textId="09417C93" w:rsidR="004F500F" w:rsidRDefault="004F500F" w:rsidP="00904A18">
      <w:pPr>
        <w:pStyle w:val="ListParagraph"/>
        <w:numPr>
          <w:ilvl w:val="0"/>
          <w:numId w:val="20"/>
        </w:numPr>
      </w:pPr>
      <w:r>
        <w:t>testing landform design</w:t>
      </w:r>
      <w:r w:rsidR="3BE3C443">
        <w:t>s</w:t>
      </w:r>
      <w:r>
        <w:t xml:space="preserve"> to failure</w:t>
      </w:r>
      <w:r w:rsidR="017243EB">
        <w:t>, which builds</w:t>
      </w:r>
      <w:r w:rsidR="002E1216">
        <w:t xml:space="preserve"> </w:t>
      </w:r>
      <w:r>
        <w:t xml:space="preserve">confidence in </w:t>
      </w:r>
      <w:r w:rsidR="096F2219">
        <w:t xml:space="preserve">both </w:t>
      </w:r>
      <w:r>
        <w:t xml:space="preserve">the final landform and the </w:t>
      </w:r>
      <w:r w:rsidR="3C77B74E">
        <w:t xml:space="preserve">effectiveness of </w:t>
      </w:r>
      <w:r>
        <w:t xml:space="preserve">controls. </w:t>
      </w:r>
    </w:p>
    <w:p w14:paraId="13C2C79F" w14:textId="294F7474" w:rsidR="004F500F" w:rsidRDefault="004F500F" w:rsidP="004F500F">
      <w:r>
        <w:t xml:space="preserve">Failure modes </w:t>
      </w:r>
      <w:r w:rsidR="51E76E61">
        <w:t>may</w:t>
      </w:r>
      <w:r>
        <w:t xml:space="preserve">be </w:t>
      </w:r>
      <w:r w:rsidR="381290A8">
        <w:t xml:space="preserve">triggered by </w:t>
      </w:r>
      <w:r>
        <w:t>natural</w:t>
      </w:r>
      <w:r w:rsidR="02D91415">
        <w:t xml:space="preserve"> events </w:t>
      </w:r>
      <w:r>
        <w:t>(e.g. an earthquake</w:t>
      </w:r>
      <w:r w:rsidR="4985055C">
        <w:t xml:space="preserve">, </w:t>
      </w:r>
      <w:r w:rsidR="27EBDD7A">
        <w:t xml:space="preserve">a </w:t>
      </w:r>
      <w:r>
        <w:t>rain</w:t>
      </w:r>
      <w:r w:rsidR="2C6EAB78">
        <w:t>fall</w:t>
      </w:r>
      <w:r>
        <w:t xml:space="preserve"> event greater than the design </w:t>
      </w:r>
      <w:r w:rsidR="5D14088E">
        <w:t xml:space="preserve">standard, </w:t>
      </w:r>
      <w:r>
        <w:t>or fire)</w:t>
      </w:r>
      <w:r w:rsidR="4A0E88D3">
        <w:t xml:space="preserve">, </w:t>
      </w:r>
      <w:r>
        <w:t xml:space="preserve">by the failure of engineered </w:t>
      </w:r>
      <w:r w:rsidR="0007291D">
        <w:t xml:space="preserve">structures </w:t>
      </w:r>
      <w:r>
        <w:t>(e.g. instability of a dam)</w:t>
      </w:r>
      <w:r w:rsidR="07FBCC86">
        <w:t xml:space="preserve">, or </w:t>
      </w:r>
      <w:r w:rsidR="271BAC59">
        <w:t xml:space="preserve">by </w:t>
      </w:r>
      <w:r>
        <w:t xml:space="preserve">operational </w:t>
      </w:r>
      <w:r w:rsidR="37D1F545">
        <w:t xml:space="preserve">issues associated with </w:t>
      </w:r>
      <w:r>
        <w:t>new land uses (e.g. fail</w:t>
      </w:r>
      <w:r w:rsidR="3D1CFC42">
        <w:t>ing to exclude</w:t>
      </w:r>
      <w:r w:rsidR="004A0630">
        <w:t xml:space="preserve"> </w:t>
      </w:r>
      <w:r>
        <w:t>heavy</w:t>
      </w:r>
      <w:r w:rsidR="18A1FDDF">
        <w:t>-</w:t>
      </w:r>
      <w:r>
        <w:t xml:space="preserve">hooved animals </w:t>
      </w:r>
      <w:r w:rsidR="6EC74B11">
        <w:t>from</w:t>
      </w:r>
      <w:r w:rsidR="004A0630">
        <w:t xml:space="preserve"> </w:t>
      </w:r>
      <w:r>
        <w:t xml:space="preserve">sensitive </w:t>
      </w:r>
      <w:r w:rsidR="008E02BC">
        <w:t xml:space="preserve">soil and vegetation </w:t>
      </w:r>
      <w:r>
        <w:t>cover areas).</w:t>
      </w:r>
    </w:p>
    <w:p w14:paraId="3270D563" w14:textId="3AAAF16E" w:rsidR="004F500F" w:rsidRDefault="004F500F" w:rsidP="004F500F">
      <w:r>
        <w:t xml:space="preserve">An example risk register can be found in </w:t>
      </w:r>
      <w:r>
        <w:fldChar w:fldCharType="begin"/>
      </w:r>
      <w:r>
        <w:instrText xml:space="preserve"> REF _Ref209435884 \h </w:instrText>
      </w:r>
      <w:r>
        <w:fldChar w:fldCharType="separate"/>
      </w:r>
      <w:r w:rsidR="001C0481">
        <w:t>Appendix A: Example Risk Register</w:t>
      </w:r>
      <w:r>
        <w:fldChar w:fldCharType="end"/>
      </w:r>
      <w:r>
        <w:t>. Further information on FMEA can be found at Dr A. Robertson &amp; S. Shaw (n.d.),</w:t>
      </w:r>
      <w:r w:rsidRPr="004F3EFA">
        <w:rPr>
          <w:i/>
        </w:rPr>
        <w:t xml:space="preserve"> </w:t>
      </w:r>
      <w:proofErr w:type="spellStart"/>
      <w:r w:rsidRPr="004F3EFA">
        <w:rPr>
          <w:i/>
        </w:rPr>
        <w:t>Infomine</w:t>
      </w:r>
      <w:proofErr w:type="spellEnd"/>
      <w:r w:rsidRPr="004F3EFA">
        <w:rPr>
          <w:i/>
        </w:rPr>
        <w:t xml:space="preserve"> E-Book</w:t>
      </w:r>
      <w:r>
        <w:rPr>
          <w:i/>
          <w:iCs/>
        </w:rPr>
        <w:t>: Mine Closure</w:t>
      </w:r>
      <w:r>
        <w:rPr>
          <w:rStyle w:val="FootnoteReference"/>
        </w:rPr>
        <w:footnoteReference w:id="38"/>
      </w:r>
      <w:r w:rsidR="00CD284D">
        <w:rPr>
          <w:i/>
          <w:iCs/>
        </w:rPr>
        <w:t>.</w:t>
      </w:r>
    </w:p>
    <w:p w14:paraId="2DB6FA67" w14:textId="77777777" w:rsidR="004F500F" w:rsidRDefault="004F500F" w:rsidP="00732495">
      <w:pPr>
        <w:pStyle w:val="Heading2"/>
      </w:pPr>
      <w:bookmarkStart w:id="72" w:name="_Toc215653666"/>
      <w:bookmarkStart w:id="73" w:name="_Toc220407025"/>
      <w:r>
        <w:lastRenderedPageBreak/>
        <w:t>Fault Trees</w:t>
      </w:r>
      <w:bookmarkEnd w:id="72"/>
      <w:bookmarkEnd w:id="73"/>
    </w:p>
    <w:p w14:paraId="5FB1072D" w14:textId="14499A52" w:rsidR="004F500F" w:rsidRDefault="004F500F" w:rsidP="004F500F">
      <w:proofErr w:type="gramStart"/>
      <w:r>
        <w:t>Similar to</w:t>
      </w:r>
      <w:proofErr w:type="gramEnd"/>
      <w:r>
        <w:t xml:space="preserve"> the FMEA approach, </w:t>
      </w:r>
      <w:r w:rsidR="46F60F94">
        <w:t>F</w:t>
      </w:r>
      <w:r>
        <w:t xml:space="preserve">ault </w:t>
      </w:r>
      <w:r w:rsidR="19930063">
        <w:t>T</w:t>
      </w:r>
      <w:r>
        <w:t xml:space="preserve">ree </w:t>
      </w:r>
      <w:r w:rsidR="223A428B">
        <w:t>A</w:t>
      </w:r>
      <w:r>
        <w:t xml:space="preserve">nalysis (FTA) is a </w:t>
      </w:r>
      <w:r w:rsidDel="00865BE5">
        <w:t>top</w:t>
      </w:r>
      <w:r w:rsidR="00865BE5">
        <w:t>-down</w:t>
      </w:r>
      <w:r>
        <w:t xml:space="preserve"> systematic risk assessment methodology </w:t>
      </w:r>
      <w:r w:rsidR="41A746F9">
        <w:t xml:space="preserve">that </w:t>
      </w:r>
      <w:r>
        <w:t>focuses on the potential failure of an event</w:t>
      </w:r>
      <w:r w:rsidR="5657FD77">
        <w:t>. It</w:t>
      </w:r>
      <w:r w:rsidR="00BD333F">
        <w:t xml:space="preserve"> </w:t>
      </w:r>
      <w:r>
        <w:t>aims to identify, quantify and represent, in diagrammatic form, the faults or failures, and the combination of fault of failures</w:t>
      </w:r>
      <w:r w:rsidR="2B31B109">
        <w:t>,</w:t>
      </w:r>
      <w:r>
        <w:t xml:space="preserve"> </w:t>
      </w:r>
      <w:r w:rsidR="214F2D35">
        <w:t xml:space="preserve">that </w:t>
      </w:r>
      <w:r>
        <w:t>can lead to a major hazard or event</w:t>
      </w:r>
      <w:r>
        <w:rPr>
          <w:rStyle w:val="FootnoteReference"/>
        </w:rPr>
        <w:footnoteReference w:id="39"/>
      </w:r>
      <w:r>
        <w:t xml:space="preserve">. </w:t>
      </w:r>
    </w:p>
    <w:p w14:paraId="256D274F" w14:textId="77777777" w:rsidR="004F500F" w:rsidRDefault="004F500F" w:rsidP="00732495">
      <w:pPr>
        <w:pStyle w:val="Heading2"/>
      </w:pPr>
      <w:bookmarkStart w:id="74" w:name="_Toc215653667"/>
      <w:bookmarkStart w:id="75" w:name="_Toc220407026"/>
      <w:r>
        <w:t>Bowties</w:t>
      </w:r>
      <w:bookmarkEnd w:id="74"/>
      <w:bookmarkEnd w:id="75"/>
    </w:p>
    <w:p w14:paraId="6789D2FF" w14:textId="288EFD5E" w:rsidR="004F500F" w:rsidRDefault="004F500F" w:rsidP="004F500F">
      <w:r>
        <w:t>A bow tie analysis is a common tool used to visualise and assess</w:t>
      </w:r>
      <w:r w:rsidR="00B07CA9">
        <w:t xml:space="preserve"> significant </w:t>
      </w:r>
      <w:r>
        <w:t xml:space="preserve">risks. Each bowtie focuses on a single risk event (the </w:t>
      </w:r>
      <w:r w:rsidR="6CCAB9D8">
        <w:t>“</w:t>
      </w:r>
      <w:r>
        <w:t>knot</w:t>
      </w:r>
      <w:r w:rsidR="3FE51625">
        <w:t>”</w:t>
      </w:r>
      <w:r>
        <w:t xml:space="preserve"> in the bowtie) and visually depicts the pathways from the cause of an event / emerging risk to its consequences using a simple qualitative cause-consequence diagram</w:t>
      </w:r>
      <w:r>
        <w:rPr>
          <w:rStyle w:val="FootnoteReference"/>
        </w:rPr>
        <w:footnoteReference w:id="40"/>
      </w:r>
      <w:r>
        <w:t xml:space="preserve">. It also allows for the identification of both preventative and mitigative controls. </w:t>
      </w:r>
      <w:r w:rsidR="00794F36">
        <w:t xml:space="preserve">See </w:t>
      </w:r>
      <w:r w:rsidR="00313568">
        <w:fldChar w:fldCharType="begin"/>
      </w:r>
      <w:r w:rsidR="00313568">
        <w:instrText xml:space="preserve"> REF _Ref209435884 \h </w:instrText>
      </w:r>
      <w:r w:rsidR="00313568">
        <w:fldChar w:fldCharType="separate"/>
      </w:r>
      <w:r w:rsidR="001C0481">
        <w:t>Appendix A: Example Risk Register</w:t>
      </w:r>
      <w:r w:rsidR="00313568">
        <w:fldChar w:fldCharType="end"/>
      </w:r>
      <w:r>
        <w:t xml:space="preserve">. </w:t>
      </w:r>
    </w:p>
    <w:p w14:paraId="02249E2F" w14:textId="77777777" w:rsidR="004F500F" w:rsidRPr="00DE5445" w:rsidRDefault="004F500F" w:rsidP="004F500F">
      <w:r>
        <w:t>The bowtie tool is particularly useful in the following scenarios</w:t>
      </w:r>
      <w:r>
        <w:rPr>
          <w:rStyle w:val="FootnoteReference"/>
        </w:rPr>
        <w:footnoteReference w:id="41"/>
      </w:r>
      <w:r>
        <w:t>:</w:t>
      </w:r>
    </w:p>
    <w:p w14:paraId="51D5284C" w14:textId="3BB2E12E" w:rsidR="004F500F" w:rsidRPr="00DE5445" w:rsidRDefault="00522FD0" w:rsidP="00904A18">
      <w:pPr>
        <w:pStyle w:val="ListParagraph"/>
        <w:numPr>
          <w:ilvl w:val="0"/>
          <w:numId w:val="21"/>
        </w:numPr>
      </w:pPr>
      <w:r>
        <w:t>w</w:t>
      </w:r>
      <w:r w:rsidR="004F500F">
        <w:t xml:space="preserve">here more detail is needed about the causes and consequence of a risk than is contained in a risk register </w:t>
      </w:r>
    </w:p>
    <w:p w14:paraId="7977C06D" w14:textId="2D4301BD" w:rsidR="004F500F" w:rsidRDefault="00522FD0" w:rsidP="00904A18">
      <w:pPr>
        <w:pStyle w:val="ListParagraph"/>
        <w:numPr>
          <w:ilvl w:val="0"/>
          <w:numId w:val="21"/>
        </w:numPr>
      </w:pPr>
      <w:r>
        <w:t>w</w:t>
      </w:r>
      <w:r w:rsidR="004F500F">
        <w:t xml:space="preserve">hen additional focus is required on identifying controls, control effectiveness and control gaps and ensuring that each pathway has appropriate and adequate controls </w:t>
      </w:r>
    </w:p>
    <w:p w14:paraId="7AEA8B56" w14:textId="35D183A3" w:rsidR="008259F9" w:rsidRDefault="00522FD0" w:rsidP="00904A18">
      <w:pPr>
        <w:pStyle w:val="ListParagraph"/>
        <w:numPr>
          <w:ilvl w:val="0"/>
          <w:numId w:val="21"/>
        </w:numPr>
      </w:pPr>
      <w:r>
        <w:t>w</w:t>
      </w:r>
      <w:r w:rsidR="196EA2BE">
        <w:t>hen d</w:t>
      </w:r>
      <w:r w:rsidR="008259F9">
        <w:t>ifferentiating between preventative and mitigative controls (e.g., those that may need to be incorporated into the landform design vs monitoring, maintenance and management requirements)</w:t>
      </w:r>
    </w:p>
    <w:p w14:paraId="3166AC2C" w14:textId="77FA885B" w:rsidR="00602245" w:rsidRDefault="00522FD0" w:rsidP="00904A18">
      <w:pPr>
        <w:pStyle w:val="ListParagraph"/>
        <w:numPr>
          <w:ilvl w:val="0"/>
          <w:numId w:val="21"/>
        </w:numPr>
      </w:pPr>
      <w:r>
        <w:t>w</w:t>
      </w:r>
      <w:r w:rsidR="00602245">
        <w:t xml:space="preserve">hen assessing the potential failure of the landform </w:t>
      </w:r>
    </w:p>
    <w:p w14:paraId="021E1E1F" w14:textId="39F3326F" w:rsidR="004F500F" w:rsidRDefault="00522FD0" w:rsidP="00904A18">
      <w:pPr>
        <w:pStyle w:val="ListParagraph"/>
        <w:numPr>
          <w:ilvl w:val="0"/>
          <w:numId w:val="21"/>
        </w:numPr>
      </w:pPr>
      <w:r>
        <w:t>w</w:t>
      </w:r>
      <w:r w:rsidR="004F500F">
        <w:t>hen the overall control strategy needs to be confirmed, and</w:t>
      </w:r>
    </w:p>
    <w:p w14:paraId="58763CF0" w14:textId="11CBB8E9" w:rsidR="004F500F" w:rsidRPr="00DE5445" w:rsidRDefault="00522FD0" w:rsidP="00904A18">
      <w:pPr>
        <w:pStyle w:val="ListParagraph"/>
        <w:numPr>
          <w:ilvl w:val="0"/>
          <w:numId w:val="21"/>
        </w:numPr>
      </w:pPr>
      <w:r>
        <w:t>w</w:t>
      </w:r>
      <w:r w:rsidR="004F500F">
        <w:t xml:space="preserve">here a visual tool may be much clearer than text, or a simple diagram is required to communicate the range of causes and consequences and the associated controls. </w:t>
      </w:r>
    </w:p>
    <w:p w14:paraId="384A0AE9" w14:textId="64F98985" w:rsidR="005B2046" w:rsidRDefault="006148B5" w:rsidP="00F00CA7">
      <w:pPr>
        <w:pStyle w:val="Heading1"/>
      </w:pPr>
      <w:bookmarkStart w:id="76" w:name="_Toc215653668"/>
      <w:bookmarkStart w:id="77" w:name="_Toc220407027"/>
      <w:r>
        <w:t>Post closure</w:t>
      </w:r>
      <w:r w:rsidR="005B2046">
        <w:t xml:space="preserve"> p</w:t>
      </w:r>
      <w:r w:rsidR="002716B8">
        <w:t>lan</w:t>
      </w:r>
      <w:bookmarkEnd w:id="76"/>
      <w:bookmarkEnd w:id="77"/>
    </w:p>
    <w:p w14:paraId="54D33168" w14:textId="6CB3DE73" w:rsidR="00B9780F" w:rsidRDefault="00B9780F" w:rsidP="002A7D7D">
      <w:r>
        <w:t xml:space="preserve">The </w:t>
      </w:r>
      <w:r w:rsidR="006148B5">
        <w:t>post closure</w:t>
      </w:r>
      <w:r>
        <w:t xml:space="preserve"> plan has been included in this paper, as an </w:t>
      </w:r>
      <w:r w:rsidR="00F324BC">
        <w:t>initial</w:t>
      </w:r>
      <w:r>
        <w:t xml:space="preserve"> prompt </w:t>
      </w:r>
      <w:r w:rsidR="00433A87">
        <w:t xml:space="preserve">regarding </w:t>
      </w:r>
      <w:r w:rsidR="009A535A">
        <w:t>what may</w:t>
      </w:r>
      <w:r w:rsidR="00433A87">
        <w:t xml:space="preserve"> be required in the </w:t>
      </w:r>
      <w:r w:rsidR="006148B5">
        <w:t>post closure</w:t>
      </w:r>
      <w:r w:rsidR="00433A87">
        <w:t xml:space="preserve"> plan</w:t>
      </w:r>
      <w:r w:rsidR="007A6951">
        <w:t xml:space="preserve"> and how it links to the </w:t>
      </w:r>
      <w:r w:rsidR="004D686D">
        <w:t xml:space="preserve">outputs of the </w:t>
      </w:r>
      <w:r w:rsidR="006148B5">
        <w:t>post closure</w:t>
      </w:r>
      <w:r w:rsidR="004D686D">
        <w:t xml:space="preserve"> risk assessment</w:t>
      </w:r>
      <w:r w:rsidR="00F324BC">
        <w:t xml:space="preserve">. This </w:t>
      </w:r>
      <w:r w:rsidR="00165C65">
        <w:t xml:space="preserve">is an initial </w:t>
      </w:r>
      <w:r w:rsidR="0029700C">
        <w:t>high-level</w:t>
      </w:r>
      <w:r w:rsidR="00165C65">
        <w:t xml:space="preserve"> </w:t>
      </w:r>
      <w:r w:rsidR="0087721C">
        <w:t>identification,</w:t>
      </w:r>
      <w:r w:rsidR="00657AB1">
        <w:t xml:space="preserve"> </w:t>
      </w:r>
      <w:r w:rsidR="00DC4B87">
        <w:t xml:space="preserve">and </w:t>
      </w:r>
      <w:r w:rsidR="00994AD0">
        <w:t xml:space="preserve">further information is likely to be added as </w:t>
      </w:r>
      <w:r w:rsidR="0019485F">
        <w:t>understanding is developed.</w:t>
      </w:r>
      <w:r w:rsidR="00994AD0">
        <w:t xml:space="preserve"> </w:t>
      </w:r>
      <w:r w:rsidR="0019485F">
        <w:t>The inclusions</w:t>
      </w:r>
      <w:r w:rsidR="0030498D">
        <w:t xml:space="preserve"> in this</w:t>
      </w:r>
      <w:r w:rsidR="0019485F">
        <w:t xml:space="preserve"> section </w:t>
      </w:r>
      <w:r w:rsidR="00E97166">
        <w:t xml:space="preserve">should not be considered as </w:t>
      </w:r>
      <w:r w:rsidR="00CE2F70">
        <w:t>all that would be required</w:t>
      </w:r>
      <w:r w:rsidR="0030498D">
        <w:t xml:space="preserve">/ </w:t>
      </w:r>
      <w:r w:rsidR="0029700C">
        <w:t>recommended</w:t>
      </w:r>
      <w:r w:rsidR="00CE2F70">
        <w:t xml:space="preserve"> within the </w:t>
      </w:r>
      <w:r w:rsidR="006148B5">
        <w:t>post closure</w:t>
      </w:r>
      <w:r w:rsidR="00CE2F70">
        <w:t xml:space="preserve"> plans</w:t>
      </w:r>
      <w:r w:rsidR="0061689A">
        <w:t xml:space="preserve">. </w:t>
      </w:r>
    </w:p>
    <w:p w14:paraId="7D178E37" w14:textId="5DBCABAF" w:rsidR="00DA7B11" w:rsidRDefault="165901DA" w:rsidP="002A7D7D">
      <w:r>
        <w:t>T</w:t>
      </w:r>
      <w:r w:rsidR="002115D9">
        <w:t>he MLRA consider</w:t>
      </w:r>
      <w:r w:rsidR="0B8CA66B">
        <w:t>s</w:t>
      </w:r>
      <w:r w:rsidR="002115D9">
        <w:t xml:space="preserve"> </w:t>
      </w:r>
      <w:r w:rsidR="00BD43A1">
        <w:t xml:space="preserve">the </w:t>
      </w:r>
      <w:r w:rsidR="006148B5">
        <w:t xml:space="preserve">post </w:t>
      </w:r>
      <w:r w:rsidR="00BD43A1">
        <w:t>closure plan to</w:t>
      </w:r>
      <w:r w:rsidR="004E0B24">
        <w:t xml:space="preserve"> be</w:t>
      </w:r>
      <w:r w:rsidR="002500D9">
        <w:t xml:space="preserve"> a document that will be</w:t>
      </w:r>
      <w:r w:rsidR="00746275">
        <w:t xml:space="preserve"> used to manage the land long after the licence has been surrendered</w:t>
      </w:r>
      <w:r w:rsidR="00330584">
        <w:t xml:space="preserve">, when </w:t>
      </w:r>
      <w:r w:rsidR="6F7E8D88">
        <w:t>current site</w:t>
      </w:r>
      <w:r w:rsidR="01ACEAE1">
        <w:t>-</w:t>
      </w:r>
      <w:r w:rsidR="6F7E8D88">
        <w:t>based personnel</w:t>
      </w:r>
      <w:r w:rsidR="00330584">
        <w:t xml:space="preserve"> are</w:t>
      </w:r>
      <w:r w:rsidR="00170F0C">
        <w:t xml:space="preserve"> </w:t>
      </w:r>
      <w:r w:rsidR="611DC631">
        <w:t xml:space="preserve">no longer </w:t>
      </w:r>
      <w:r w:rsidR="00170F0C">
        <w:t>present</w:t>
      </w:r>
      <w:r w:rsidR="004E0B24">
        <w:t xml:space="preserve"> to advise. </w:t>
      </w:r>
      <w:r w:rsidR="7606947A">
        <w:t>The Plan</w:t>
      </w:r>
      <w:r w:rsidR="004E0B24">
        <w:t xml:space="preserve"> therefore needs to </w:t>
      </w:r>
      <w:r w:rsidR="000563C6">
        <w:t xml:space="preserve">provide </w:t>
      </w:r>
      <w:r w:rsidR="2B83CD33">
        <w:t xml:space="preserve">the </w:t>
      </w:r>
      <w:r w:rsidR="000563C6">
        <w:t xml:space="preserve">clear, concise information needed to understand the </w:t>
      </w:r>
      <w:r w:rsidR="00D03F19">
        <w:t>landforms</w:t>
      </w:r>
      <w:r w:rsidR="613CFB63">
        <w:t xml:space="preserve"> some</w:t>
      </w:r>
      <w:r w:rsidR="00747C5A">
        <w:t xml:space="preserve"> tens</w:t>
      </w:r>
      <w:r w:rsidR="4CDFE4A8">
        <w:t xml:space="preserve"> </w:t>
      </w:r>
      <w:r w:rsidR="00747C5A">
        <w:t>/ hundreds of years into the future</w:t>
      </w:r>
      <w:r w:rsidR="453B8B64">
        <w:t>.</w:t>
      </w:r>
      <w:r w:rsidR="00151191">
        <w:t xml:space="preserve"> </w:t>
      </w:r>
      <w:r w:rsidR="33BFF373">
        <w:t>T</w:t>
      </w:r>
      <w:r w:rsidR="00242306">
        <w:t xml:space="preserve">he post closure plan </w:t>
      </w:r>
      <w:r w:rsidR="00914816">
        <w:t xml:space="preserve">should </w:t>
      </w:r>
      <w:r w:rsidR="00BD43A1">
        <w:t>be:</w:t>
      </w:r>
    </w:p>
    <w:p w14:paraId="5DEBA2A5" w14:textId="77777777" w:rsidR="00242306" w:rsidRDefault="00242306" w:rsidP="00242306">
      <w:pPr>
        <w:pStyle w:val="ListParagraph"/>
        <w:numPr>
          <w:ilvl w:val="0"/>
          <w:numId w:val="23"/>
        </w:numPr>
      </w:pPr>
      <w:r>
        <w:t xml:space="preserve">a standalone document, that will be required “in perpetuity” to manage the ongoing residual risks and liabilities </w:t>
      </w:r>
    </w:p>
    <w:p w14:paraId="43895A06" w14:textId="73A6D666" w:rsidR="009D527C" w:rsidRDefault="00904A18" w:rsidP="00904A18">
      <w:pPr>
        <w:pStyle w:val="ListParagraph"/>
        <w:numPr>
          <w:ilvl w:val="0"/>
          <w:numId w:val="23"/>
        </w:numPr>
      </w:pPr>
      <w:r>
        <w:t>t</w:t>
      </w:r>
      <w:r w:rsidR="009D527C">
        <w:t xml:space="preserve">he </w:t>
      </w:r>
      <w:r w:rsidR="00CA5C6C">
        <w:t xml:space="preserve">primary source of information </w:t>
      </w:r>
      <w:r w:rsidR="009D527C">
        <w:t xml:space="preserve">for future landowners and/ or those responsible for the ongoing management and </w:t>
      </w:r>
      <w:r w:rsidR="00D03F19">
        <w:t xml:space="preserve">potential </w:t>
      </w:r>
      <w:r w:rsidR="009D527C">
        <w:t>repair of the declared mine land</w:t>
      </w:r>
    </w:p>
    <w:p w14:paraId="0EADBEA7" w14:textId="53E07669" w:rsidR="003308FF" w:rsidRDefault="00904A18" w:rsidP="00904A18">
      <w:pPr>
        <w:pStyle w:val="ListParagraph"/>
        <w:numPr>
          <w:ilvl w:val="0"/>
          <w:numId w:val="23"/>
        </w:numPr>
      </w:pPr>
      <w:r>
        <w:t>t</w:t>
      </w:r>
      <w:r w:rsidR="009D527C">
        <w:t>he tool for the t</w:t>
      </w:r>
      <w:r w:rsidR="003308FF">
        <w:t xml:space="preserve">ransfer of knowledge and understanding of the </w:t>
      </w:r>
      <w:r w:rsidR="009D527C">
        <w:t xml:space="preserve">declared mine land </w:t>
      </w:r>
      <w:r w:rsidR="00417CBF">
        <w:t xml:space="preserve">to enable new </w:t>
      </w:r>
      <w:r w:rsidR="000B01D4">
        <w:t>land managers</w:t>
      </w:r>
      <w:r w:rsidR="00475955">
        <w:t xml:space="preserve"> to understand what is required </w:t>
      </w:r>
      <w:r w:rsidR="0087721C">
        <w:t xml:space="preserve">and why it </w:t>
      </w:r>
      <w:r w:rsidR="002A3141">
        <w:t xml:space="preserve">is required </w:t>
      </w:r>
      <w:r w:rsidR="00475955">
        <w:t>at the site</w:t>
      </w:r>
    </w:p>
    <w:p w14:paraId="64886EFB" w14:textId="1038BE49" w:rsidR="00BD43A1" w:rsidRDefault="00904A18" w:rsidP="00904A18">
      <w:pPr>
        <w:pStyle w:val="ListParagraph"/>
        <w:numPr>
          <w:ilvl w:val="0"/>
          <w:numId w:val="23"/>
        </w:numPr>
      </w:pPr>
      <w:r>
        <w:lastRenderedPageBreak/>
        <w:t xml:space="preserve">a </w:t>
      </w:r>
      <w:r w:rsidR="00262D61">
        <w:t>plan that draws together</w:t>
      </w:r>
      <w:r w:rsidR="00471656">
        <w:t xml:space="preserve"> all management, monitoring and legal requirements associated with declared mine land</w:t>
      </w:r>
      <w:r w:rsidR="00262D61">
        <w:t>,</w:t>
      </w:r>
      <w:r w:rsidR="00D9718E">
        <w:t xml:space="preserve"> at the point of licence surrender and </w:t>
      </w:r>
      <w:r w:rsidR="00602654">
        <w:t>into the future,</w:t>
      </w:r>
      <w:r w:rsidR="00262D61">
        <w:t xml:space="preserve"> and refers out to where detail is held</w:t>
      </w:r>
    </w:p>
    <w:p w14:paraId="7E9EBD06" w14:textId="38BCB994" w:rsidR="00FB1111" w:rsidRDefault="00904A18" w:rsidP="00904A18">
      <w:pPr>
        <w:pStyle w:val="ListParagraph"/>
        <w:numPr>
          <w:ilvl w:val="0"/>
          <w:numId w:val="23"/>
        </w:numPr>
      </w:pPr>
      <w:r>
        <w:t xml:space="preserve">a </w:t>
      </w:r>
      <w:r w:rsidR="00C62096">
        <w:t xml:space="preserve">document that enables future potential </w:t>
      </w:r>
      <w:r w:rsidR="00D16C0F">
        <w:t>landowners</w:t>
      </w:r>
      <w:r w:rsidR="00C62096">
        <w:t xml:space="preserve"> to </w:t>
      </w:r>
      <w:r w:rsidR="00D16C0F">
        <w:t xml:space="preserve">do due diligence </w:t>
      </w:r>
      <w:r w:rsidR="000B01D4">
        <w:t xml:space="preserve">and </w:t>
      </w:r>
      <w:r w:rsidR="00C62096">
        <w:t>understand their</w:t>
      </w:r>
      <w:r w:rsidR="00D16C0F">
        <w:t xml:space="preserve"> liabilities</w:t>
      </w:r>
      <w:r w:rsidR="00C62096">
        <w:t xml:space="preserve"> </w:t>
      </w:r>
    </w:p>
    <w:p w14:paraId="2F659228" w14:textId="68E4F75C" w:rsidR="007925E3" w:rsidRDefault="007925E3" w:rsidP="007925E3">
      <w:pPr>
        <w:pStyle w:val="ListParagraph"/>
        <w:numPr>
          <w:ilvl w:val="0"/>
          <w:numId w:val="23"/>
        </w:numPr>
      </w:pPr>
      <w:r>
        <w:t xml:space="preserve">enables </w:t>
      </w:r>
      <w:r w:rsidR="007F21BB">
        <w:t xml:space="preserve">costing for declared mine </w:t>
      </w:r>
      <w:r>
        <w:t>funding,</w:t>
      </w:r>
      <w:r w:rsidR="007F21BB">
        <w:t xml:space="preserve"> identification of</w:t>
      </w:r>
      <w:r>
        <w:t xml:space="preserve"> resources and new infrastructure applied to manage </w:t>
      </w:r>
      <w:r w:rsidR="006148B5">
        <w:t>post closure</w:t>
      </w:r>
      <w:r>
        <w:t xml:space="preserve"> risks</w:t>
      </w:r>
    </w:p>
    <w:p w14:paraId="73C6014A" w14:textId="22510C8B" w:rsidR="00F6433F" w:rsidRDefault="009C00B0" w:rsidP="002A7D7D">
      <w:r>
        <w:t xml:space="preserve">The </w:t>
      </w:r>
      <w:r w:rsidR="006148B5">
        <w:t>post closure</w:t>
      </w:r>
      <w:r>
        <w:t xml:space="preserve"> plan outlines the ongoing monitoring and maintenance works required after the surrender of the mining </w:t>
      </w:r>
      <w:r w:rsidR="00E9336C">
        <w:t>licence</w:t>
      </w:r>
      <w:r w:rsidR="003F211A">
        <w:t xml:space="preserve">. </w:t>
      </w:r>
      <w:r w:rsidR="002CC3E0">
        <w:t xml:space="preserve">It </w:t>
      </w:r>
      <w:r w:rsidR="007D043D">
        <w:t>must</w:t>
      </w:r>
      <w:r w:rsidR="00563980">
        <w:t xml:space="preserve"> be supported by a </w:t>
      </w:r>
      <w:r w:rsidR="006148B5">
        <w:t>post closure</w:t>
      </w:r>
      <w:r w:rsidR="00563980">
        <w:t xml:space="preserve"> risk assessment</w:t>
      </w:r>
      <w:r w:rsidR="00CF2356">
        <w:t xml:space="preserve">, with the </w:t>
      </w:r>
      <w:r w:rsidR="386576C3">
        <w:t xml:space="preserve">identified </w:t>
      </w:r>
      <w:r w:rsidR="00780620">
        <w:t xml:space="preserve">risk treatments and controls forming key </w:t>
      </w:r>
      <w:r w:rsidR="5837A51C">
        <w:t xml:space="preserve">components </w:t>
      </w:r>
      <w:r w:rsidR="00780620">
        <w:t xml:space="preserve">of </w:t>
      </w:r>
      <w:r w:rsidR="30B697E3">
        <w:t xml:space="preserve">both </w:t>
      </w:r>
      <w:r w:rsidR="00780620">
        <w:t xml:space="preserve">the plan and </w:t>
      </w:r>
      <w:r w:rsidR="22020DF5">
        <w:t xml:space="preserve">its </w:t>
      </w:r>
      <w:r w:rsidR="00780620">
        <w:t xml:space="preserve">associated management </w:t>
      </w:r>
      <w:r w:rsidR="1A828D70">
        <w:t>documents</w:t>
      </w:r>
      <w:r w:rsidR="00780620">
        <w:t xml:space="preserve">. </w:t>
      </w:r>
      <w:r w:rsidR="00F6433F">
        <w:t xml:space="preserve">Following </w:t>
      </w:r>
      <w:r w:rsidR="00E9336C">
        <w:t xml:space="preserve">licence </w:t>
      </w:r>
      <w:r w:rsidR="00F6433F">
        <w:t xml:space="preserve">surrender, </w:t>
      </w:r>
      <w:r w:rsidR="004314C2">
        <w:t>two primary forms of activit</w:t>
      </w:r>
      <w:r w:rsidR="6BD64DC2">
        <w:t>y</w:t>
      </w:r>
      <w:r w:rsidR="004314C2">
        <w:t xml:space="preserve"> will be undertaken:</w:t>
      </w:r>
    </w:p>
    <w:p w14:paraId="67A9D047" w14:textId="18EDAF9A" w:rsidR="00686665" w:rsidRDefault="01EE8C18" w:rsidP="00904A18">
      <w:pPr>
        <w:pStyle w:val="ListParagraph"/>
        <w:numPr>
          <w:ilvl w:val="0"/>
          <w:numId w:val="7"/>
        </w:numPr>
      </w:pPr>
      <w:r>
        <w:t>“</w:t>
      </w:r>
      <w:r w:rsidR="0FF52DED">
        <w:t>n</w:t>
      </w:r>
      <w:r>
        <w:t xml:space="preserve">ormal’ land management activities required </w:t>
      </w:r>
      <w:r w:rsidR="4C4ECC7C">
        <w:t xml:space="preserve">for the new </w:t>
      </w:r>
      <w:r w:rsidR="23F0EF26">
        <w:t>post</w:t>
      </w:r>
      <w:r w:rsidR="4E506E69">
        <w:t>-</w:t>
      </w:r>
      <w:r w:rsidR="23F0EF26">
        <w:t>closure</w:t>
      </w:r>
      <w:r w:rsidR="4C4ECC7C">
        <w:t xml:space="preserve"> land uses</w:t>
      </w:r>
      <w:r>
        <w:t xml:space="preserve">, and </w:t>
      </w:r>
    </w:p>
    <w:p w14:paraId="7FD8FF72" w14:textId="5EF78BC7" w:rsidR="00654776" w:rsidRDefault="00904A18" w:rsidP="00904A18">
      <w:pPr>
        <w:pStyle w:val="ListParagraph"/>
        <w:numPr>
          <w:ilvl w:val="0"/>
          <w:numId w:val="7"/>
        </w:numPr>
      </w:pPr>
      <w:r>
        <w:t>t</w:t>
      </w:r>
      <w:r w:rsidR="00686665">
        <w:t xml:space="preserve">he additional </w:t>
      </w:r>
      <w:r w:rsidR="00A31233">
        <w:t>land management requirements</w:t>
      </w:r>
      <w:r w:rsidR="008D4BA1">
        <w:t xml:space="preserve"> associated with the hist</w:t>
      </w:r>
      <w:r w:rsidR="006F1159">
        <w:t xml:space="preserve">oric mining </w:t>
      </w:r>
      <w:r w:rsidR="00AD6615">
        <w:t>activities to</w:t>
      </w:r>
      <w:r w:rsidR="00EB7298">
        <w:t xml:space="preserve"> maintain stability, safety</w:t>
      </w:r>
      <w:r w:rsidR="00FF3F39">
        <w:t xml:space="preserve"> and sustainability </w:t>
      </w:r>
      <w:r w:rsidR="008D4BA1">
        <w:t xml:space="preserve">of the </w:t>
      </w:r>
      <w:r w:rsidR="009C06A7">
        <w:t xml:space="preserve">declared mine </w:t>
      </w:r>
      <w:r w:rsidR="008D4BA1">
        <w:t>land</w:t>
      </w:r>
      <w:r w:rsidR="002048D0">
        <w:t>,</w:t>
      </w:r>
      <w:r w:rsidR="009F2235">
        <w:t xml:space="preserve"> identified in the </w:t>
      </w:r>
      <w:r w:rsidR="006148B5">
        <w:t>post closure</w:t>
      </w:r>
      <w:r w:rsidR="009F2235">
        <w:t xml:space="preserve"> risk assessment and </w:t>
      </w:r>
      <w:r w:rsidR="00686665">
        <w:t xml:space="preserve">outlined within </w:t>
      </w:r>
      <w:r w:rsidR="00CE77F1">
        <w:t xml:space="preserve">the </w:t>
      </w:r>
      <w:r w:rsidR="00654776">
        <w:t xml:space="preserve">registered </w:t>
      </w:r>
      <w:r w:rsidR="006148B5">
        <w:t>post closure</w:t>
      </w:r>
      <w:r w:rsidR="00654776">
        <w:t xml:space="preserve"> plan. </w:t>
      </w:r>
    </w:p>
    <w:p w14:paraId="67E2B42E" w14:textId="79EE349A" w:rsidR="004C45DF" w:rsidRDefault="62315742" w:rsidP="002A7D7D">
      <w:r>
        <w:t xml:space="preserve">As presented in </w:t>
      </w:r>
      <w:r w:rsidR="001F56DC">
        <w:fldChar w:fldCharType="begin"/>
      </w:r>
      <w:r w:rsidR="001F56DC">
        <w:instrText xml:space="preserve"> REF _Ref209108786 \h </w:instrText>
      </w:r>
      <w:r w:rsidR="001F56DC">
        <w:fldChar w:fldCharType="separate"/>
      </w:r>
      <w:r w:rsidR="001C0481">
        <w:t xml:space="preserve">Figure </w:t>
      </w:r>
      <w:r w:rsidR="001C0481">
        <w:rPr>
          <w:noProof/>
        </w:rPr>
        <w:t>4</w:t>
      </w:r>
      <w:r w:rsidR="001F56DC">
        <w:fldChar w:fldCharType="end"/>
      </w:r>
      <w:r>
        <w:t xml:space="preserve">, </w:t>
      </w:r>
      <w:r w:rsidR="2BC7252C">
        <w:t xml:space="preserve">whilst the </w:t>
      </w:r>
      <w:r w:rsidR="006148B5">
        <w:t>post closure</w:t>
      </w:r>
      <w:r w:rsidR="2BC7252C">
        <w:t xml:space="preserve"> plan primarily aims to capture land management requirements beyond ‘normal’ land management requirements (refer to Section </w:t>
      </w:r>
      <w:r w:rsidR="001F56DC">
        <w:fldChar w:fldCharType="begin"/>
      </w:r>
      <w:r w:rsidR="001F56DC">
        <w:instrText xml:space="preserve"> REF _Ref209107147 \r \h </w:instrText>
      </w:r>
      <w:r w:rsidR="001F56DC">
        <w:fldChar w:fldCharType="separate"/>
      </w:r>
      <w:r w:rsidR="001C0481">
        <w:t>4</w:t>
      </w:r>
      <w:r w:rsidR="001F56DC">
        <w:fldChar w:fldCharType="end"/>
      </w:r>
      <w:r w:rsidR="2BC7252C">
        <w:t>)</w:t>
      </w:r>
      <w:r w:rsidR="77175B65">
        <w:t xml:space="preserve">, it is acknowledged that some </w:t>
      </w:r>
      <w:r w:rsidR="540C6B78">
        <w:t>grey areas</w:t>
      </w:r>
      <w:r w:rsidR="18FC3942">
        <w:t xml:space="preserve"> may exist</w:t>
      </w:r>
      <w:r w:rsidR="540C6B78">
        <w:t>. For example</w:t>
      </w:r>
      <w:r w:rsidR="6B7AB392">
        <w:t xml:space="preserve">, </w:t>
      </w:r>
      <w:r w:rsidR="0042E8CA">
        <w:t xml:space="preserve">if </w:t>
      </w:r>
      <w:r w:rsidR="435F1286">
        <w:t>the final land use</w:t>
      </w:r>
      <w:r w:rsidR="2CE91665">
        <w:t xml:space="preserve"> </w:t>
      </w:r>
      <w:r w:rsidR="3202AB6C">
        <w:t xml:space="preserve">is designated as </w:t>
      </w:r>
      <w:r w:rsidR="2CE91665">
        <w:t xml:space="preserve">grazing, stock </w:t>
      </w:r>
      <w:r w:rsidR="0035E2A9">
        <w:t>fences</w:t>
      </w:r>
      <w:r w:rsidR="2CE91665">
        <w:t xml:space="preserve"> may </w:t>
      </w:r>
      <w:r w:rsidR="751B7F50">
        <w:t xml:space="preserve">typically be required </w:t>
      </w:r>
      <w:r w:rsidR="2CE91665">
        <w:t xml:space="preserve">to </w:t>
      </w:r>
      <w:r w:rsidR="48DB5C00">
        <w:t xml:space="preserve">contain and protect livestock. </w:t>
      </w:r>
      <w:r w:rsidR="1AA43BEA">
        <w:t xml:space="preserve">However, </w:t>
      </w:r>
      <w:r w:rsidR="549F590D">
        <w:t xml:space="preserve">fencing may </w:t>
      </w:r>
      <w:r w:rsidR="54C00F39">
        <w:t>also</w:t>
      </w:r>
      <w:r w:rsidR="6C6770A3">
        <w:t xml:space="preserve"> </w:t>
      </w:r>
      <w:r w:rsidR="549F590D">
        <w:t xml:space="preserve">be necessary to </w:t>
      </w:r>
      <w:r w:rsidR="6A2A0965">
        <w:t xml:space="preserve">restrict </w:t>
      </w:r>
      <w:r w:rsidR="1C37AE31">
        <w:t>public access</w:t>
      </w:r>
      <w:r w:rsidR="70B77D4A">
        <w:t xml:space="preserve"> </w:t>
      </w:r>
      <w:r w:rsidR="7547EF74">
        <w:t>t</w:t>
      </w:r>
      <w:r w:rsidR="38B78AD6">
        <w:t>o</w:t>
      </w:r>
      <w:r w:rsidR="5CB0CEBE">
        <w:t xml:space="preserve"> landforms resulting from historic mining activities like remediated contaminated land (e.g., asbestos landfill areas)</w:t>
      </w:r>
      <w:r w:rsidR="364087A6">
        <w:t>. In this case</w:t>
      </w:r>
      <w:r w:rsidR="2E6535AE">
        <w:t>, the</w:t>
      </w:r>
      <w:r w:rsidR="364087A6">
        <w:t xml:space="preserve"> fencing </w:t>
      </w:r>
      <w:r w:rsidR="7E84D5B2">
        <w:t>would</w:t>
      </w:r>
      <w:r w:rsidR="3883C6BB">
        <w:t xml:space="preserve"> </w:t>
      </w:r>
      <w:r w:rsidR="364087A6">
        <w:t xml:space="preserve">be </w:t>
      </w:r>
      <w:r w:rsidR="2636C269">
        <w:t>considered part of the post closure requirements</w:t>
      </w:r>
      <w:r w:rsidR="45EAB217">
        <w:t xml:space="preserve"> and therefore included in </w:t>
      </w:r>
      <w:r w:rsidR="7ED4058B">
        <w:t xml:space="preserve">the </w:t>
      </w:r>
      <w:r w:rsidR="006148B5">
        <w:t>post closure</w:t>
      </w:r>
      <w:r w:rsidR="7ED4058B">
        <w:t xml:space="preserve"> plan.</w:t>
      </w:r>
      <w:r w:rsidR="2636C269">
        <w:t xml:space="preserve"> </w:t>
      </w:r>
    </w:p>
    <w:p w14:paraId="0BBAB2A3" w14:textId="448811EB" w:rsidR="00200FB0" w:rsidRDefault="00A754F6" w:rsidP="007754D0">
      <w:pPr>
        <w:keepNext/>
      </w:pPr>
      <w:r>
        <w:rPr>
          <w:noProof/>
        </w:rPr>
        <w:drawing>
          <wp:inline distT="0" distB="0" distL="0" distR="0" wp14:anchorId="6F7ED534" wp14:editId="6AE73187">
            <wp:extent cx="4980714" cy="3252159"/>
            <wp:effectExtent l="0" t="0" r="0" b="0"/>
            <wp:docPr id="1728187933" name="Picture 1" descr="Venn diagram comparing &quot;Normal&quot; land management activities and post-closure plan activities, with two overlapping circles colored blue and yellow. Blue circle highlights activities implemented and paid for by landowner, while yellow circle shows activities implemented by landowner or MLRA and funded by Declared Mine Fund, with a shaded overlap area indicating shar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87933" name="Picture 1" descr="Venn diagram comparing &quot;Normal&quot; land management activities and post-closure plan activities, with two overlapping circles colored blue and yellow. Blue circle highlights activities implemented and paid for by landowner, while yellow circle shows activities implemented by landowner or MLRA and funded by Declared Mine Fund, with a shaded overlap area indicating shared element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96435" cy="3262424"/>
                    </a:xfrm>
                    <a:prstGeom prst="rect">
                      <a:avLst/>
                    </a:prstGeom>
                    <a:noFill/>
                  </pic:spPr>
                </pic:pic>
              </a:graphicData>
            </a:graphic>
          </wp:inline>
        </w:drawing>
      </w:r>
    </w:p>
    <w:p w14:paraId="79B02A2F" w14:textId="47B938C3" w:rsidR="00E87AF1" w:rsidRDefault="00200FB0" w:rsidP="007754D0">
      <w:pPr>
        <w:pStyle w:val="Caption"/>
      </w:pPr>
      <w:bookmarkStart w:id="78" w:name="_Ref209108786"/>
      <w:r>
        <w:t xml:space="preserve">Figure </w:t>
      </w:r>
      <w:r w:rsidR="00EE022D">
        <w:fldChar w:fldCharType="begin"/>
      </w:r>
      <w:r w:rsidR="00EE022D">
        <w:instrText xml:space="preserve"> SEQ Figure \* ARABIC </w:instrText>
      </w:r>
      <w:r w:rsidR="00EE022D">
        <w:fldChar w:fldCharType="separate"/>
      </w:r>
      <w:r w:rsidR="001C0481">
        <w:rPr>
          <w:noProof/>
        </w:rPr>
        <w:t>4</w:t>
      </w:r>
      <w:r w:rsidR="00EE022D">
        <w:rPr>
          <w:noProof/>
        </w:rPr>
        <w:fldChar w:fldCharType="end"/>
      </w:r>
      <w:bookmarkEnd w:id="78"/>
      <w:r>
        <w:tab/>
      </w:r>
      <w:r w:rsidR="00637D17">
        <w:t xml:space="preserve">Diagram conceptually depicting </w:t>
      </w:r>
      <w:r w:rsidR="00500944">
        <w:t xml:space="preserve">the scope of </w:t>
      </w:r>
      <w:r w:rsidR="006148B5">
        <w:t>post closure</w:t>
      </w:r>
      <w:r w:rsidR="00500944">
        <w:t xml:space="preserve"> plan </w:t>
      </w:r>
      <w:r w:rsidR="00B97ABE">
        <w:t>with respect to ‘normal’ land management</w:t>
      </w:r>
      <w:r w:rsidR="005E0FCA">
        <w:t xml:space="preserve"> and funding </w:t>
      </w:r>
      <w:r w:rsidR="00A7451B">
        <w:t>arrangements for the associated management work</w:t>
      </w:r>
    </w:p>
    <w:p w14:paraId="2970A902" w14:textId="22C30CFE" w:rsidR="00617B90" w:rsidRDefault="00FC781E" w:rsidP="000420ED">
      <w:r>
        <w:t xml:space="preserve">The </w:t>
      </w:r>
      <w:r w:rsidR="006148B5">
        <w:t xml:space="preserve">post </w:t>
      </w:r>
      <w:r>
        <w:t xml:space="preserve">closure plan </w:t>
      </w:r>
      <w:r w:rsidR="000364F5">
        <w:t xml:space="preserve">should </w:t>
      </w:r>
      <w:r>
        <w:t>reference</w:t>
      </w:r>
      <w:r w:rsidR="000364F5">
        <w:t>, and have appended,</w:t>
      </w:r>
      <w:r>
        <w:t xml:space="preserve"> more detailed </w:t>
      </w:r>
      <w:r w:rsidR="00636ABF">
        <w:t xml:space="preserve">monitoring and </w:t>
      </w:r>
      <w:r>
        <w:t>management plans</w:t>
      </w:r>
      <w:r w:rsidR="00AC7B10">
        <w:t>, which could be domain</w:t>
      </w:r>
      <w:r w:rsidR="007F0D2F">
        <w:t>,</w:t>
      </w:r>
      <w:r w:rsidR="00AC7B10">
        <w:t xml:space="preserve"> or </w:t>
      </w:r>
      <w:r w:rsidR="00117BCD">
        <w:t xml:space="preserve">discipline </w:t>
      </w:r>
      <w:r w:rsidR="00AC7B10">
        <w:t>based</w:t>
      </w:r>
      <w:r w:rsidR="00E54B6A">
        <w:t xml:space="preserve"> and should be attached</w:t>
      </w:r>
      <w:r w:rsidR="00980C2F">
        <w:t xml:space="preserve">. </w:t>
      </w:r>
      <w:r w:rsidR="782EF29E">
        <w:t>In developing</w:t>
      </w:r>
      <w:r w:rsidR="00CA19ED">
        <w:t xml:space="preserve"> the </w:t>
      </w:r>
      <w:r w:rsidR="006148B5">
        <w:t>post closure</w:t>
      </w:r>
      <w:r w:rsidR="00CA19ED">
        <w:t xml:space="preserve"> plan, </w:t>
      </w:r>
      <w:r w:rsidR="002A35CD">
        <w:t>consideration should be given to</w:t>
      </w:r>
      <w:r w:rsidR="00980C2F">
        <w:t xml:space="preserve"> </w:t>
      </w:r>
      <w:r w:rsidR="553732FF">
        <w:t>potential</w:t>
      </w:r>
      <w:r w:rsidR="00980C2F">
        <w:t xml:space="preserve"> future land</w:t>
      </w:r>
      <w:r w:rsidR="6DD2850B">
        <w:t xml:space="preserve"> </w:t>
      </w:r>
      <w:r w:rsidR="00980C2F">
        <w:t>owner</w:t>
      </w:r>
      <w:r w:rsidR="71B3CED4">
        <w:t xml:space="preserve">ship </w:t>
      </w:r>
      <w:r w:rsidR="1404E598">
        <w:t xml:space="preserve">arrangements. For example, </w:t>
      </w:r>
      <w:r w:rsidR="00B1543F">
        <w:t xml:space="preserve">the land </w:t>
      </w:r>
      <w:r w:rsidR="003D6C1B">
        <w:t>may be sold in</w:t>
      </w:r>
      <w:r w:rsidR="003B3D68">
        <w:t xml:space="preserve"> smaller parcels, with different owners or managers across a given area</w:t>
      </w:r>
      <w:r w:rsidR="364A29B3">
        <w:t xml:space="preserve"> </w:t>
      </w:r>
      <w:r w:rsidR="003F1804">
        <w:t>or identify</w:t>
      </w:r>
      <w:r w:rsidR="1BFAEFAF">
        <w:t xml:space="preserve"> </w:t>
      </w:r>
      <w:r w:rsidR="002411EA">
        <w:t xml:space="preserve">clear accountabilities detailed management plans may be structured </w:t>
      </w:r>
      <w:r w:rsidR="0A88B33D">
        <w:t>around</w:t>
      </w:r>
      <w:r w:rsidR="48F6D545">
        <w:t xml:space="preserve"> </w:t>
      </w:r>
      <w:r w:rsidR="002411EA">
        <w:t>domains</w:t>
      </w:r>
      <w:r w:rsidR="00617B90">
        <w:t xml:space="preserve"> and sub-domains</w:t>
      </w:r>
      <w:r w:rsidR="002411EA">
        <w:t xml:space="preserve">. </w:t>
      </w:r>
    </w:p>
    <w:p w14:paraId="06972477" w14:textId="0FF4D593" w:rsidR="00614DA3" w:rsidRDefault="00614DA3" w:rsidP="00614DA3">
      <w:r>
        <w:lastRenderedPageBreak/>
        <w:t>For transparency and long-term understanding</w:t>
      </w:r>
      <w:r w:rsidRPr="00681F8D">
        <w:t xml:space="preserve"> </w:t>
      </w:r>
      <w:r>
        <w:t xml:space="preserve">of activities required in the </w:t>
      </w:r>
      <w:r w:rsidR="006148B5">
        <w:t>post closure</w:t>
      </w:r>
      <w:r>
        <w:t xml:space="preserve"> plan, </w:t>
      </w:r>
      <w:r w:rsidR="001629CB">
        <w:t xml:space="preserve">all monitoring and management activities </w:t>
      </w:r>
      <w:r w:rsidR="005B649F">
        <w:t xml:space="preserve">should </w:t>
      </w:r>
      <w:r>
        <w:t>explicitly cross-reference the risk assessment to show which individual risks they are managing</w:t>
      </w:r>
      <w:r w:rsidR="004A5408">
        <w:t xml:space="preserve"> </w:t>
      </w:r>
      <w:proofErr w:type="gramStart"/>
      <w:r w:rsidR="001629CB">
        <w:t>and also</w:t>
      </w:r>
      <w:proofErr w:type="gramEnd"/>
      <w:r w:rsidR="001629CB">
        <w:t xml:space="preserve"> briefly summarise </w:t>
      </w:r>
      <w:r w:rsidR="004A5408">
        <w:t xml:space="preserve">why these activities are key to the ongoing functioning of the rehabilitation. </w:t>
      </w:r>
      <w:r>
        <w:t>In addition to requirements outlined in S84AZU(c) and Regulation 64D, the following elements (among others) should be considered for inclusion:</w:t>
      </w:r>
    </w:p>
    <w:p w14:paraId="379AEE78" w14:textId="36CE356F" w:rsidR="00F420EC" w:rsidRDefault="00904A18" w:rsidP="00904A18">
      <w:pPr>
        <w:pStyle w:val="ListParagraph"/>
        <w:numPr>
          <w:ilvl w:val="0"/>
          <w:numId w:val="18"/>
        </w:numPr>
      </w:pPr>
      <w:r>
        <w:t>d</w:t>
      </w:r>
      <w:r w:rsidR="007E219C">
        <w:t>escription of the final landform with the inclusion of relevant maps and plans</w:t>
      </w:r>
      <w:r w:rsidR="005A29C5">
        <w:t xml:space="preserve"> (at the overall site, domain and feature basis</w:t>
      </w:r>
      <w:r w:rsidR="00BC5554" w:rsidRPr="00BC5554">
        <w:t xml:space="preserve"> </w:t>
      </w:r>
      <w:r w:rsidR="00386439">
        <w:t>&amp; ideally includ</w:t>
      </w:r>
      <w:r w:rsidR="006D0270">
        <w:t>ing</w:t>
      </w:r>
      <w:r w:rsidR="00386439">
        <w:t xml:space="preserve"> </w:t>
      </w:r>
      <w:r w:rsidR="00BC5554">
        <w:t>CSMs for the rehabilitated site, and domains</w:t>
      </w:r>
      <w:r w:rsidR="00386439">
        <w:t>)</w:t>
      </w:r>
      <w:r w:rsidR="00C536AA">
        <w:t xml:space="preserve">. </w:t>
      </w:r>
      <w:r w:rsidR="00561CD6">
        <w:t xml:space="preserve">The description of the final landform should also include </w:t>
      </w:r>
      <w:r w:rsidR="00F420EC">
        <w:t xml:space="preserve">the inventory of controls (by domain) which are implicitly integrated into the final landform design (see Section </w:t>
      </w:r>
      <w:r w:rsidR="00B83237">
        <w:fldChar w:fldCharType="begin"/>
      </w:r>
      <w:r w:rsidR="00B83237">
        <w:instrText xml:space="preserve"> REF _Ref216275289 \r \h </w:instrText>
      </w:r>
      <w:r w:rsidR="00B83237">
        <w:fldChar w:fldCharType="separate"/>
      </w:r>
      <w:r w:rsidR="001C0481">
        <w:t>5.3</w:t>
      </w:r>
      <w:r w:rsidR="00B83237">
        <w:fldChar w:fldCharType="end"/>
      </w:r>
      <w:r w:rsidR="00882480">
        <w:fldChar w:fldCharType="begin"/>
      </w:r>
      <w:r w:rsidR="00882480">
        <w:instrText xml:space="preserve"> REF _Ref208914845 \r \h </w:instrText>
      </w:r>
      <w:r w:rsidR="00882480">
        <w:fldChar w:fldCharType="separate"/>
      </w:r>
      <w:r w:rsidR="001C0481">
        <w:t>5.1</w:t>
      </w:r>
      <w:r w:rsidR="00882480">
        <w:fldChar w:fldCharType="end"/>
      </w:r>
      <w:r w:rsidR="00882480">
        <w:t>)</w:t>
      </w:r>
      <w:r w:rsidR="00F420EC">
        <w:t xml:space="preserve"> </w:t>
      </w:r>
    </w:p>
    <w:p w14:paraId="64322065" w14:textId="1F1F68F4" w:rsidR="005A3184" w:rsidRDefault="00980B26" w:rsidP="00904A18">
      <w:pPr>
        <w:pStyle w:val="ListParagraph"/>
        <w:numPr>
          <w:ilvl w:val="0"/>
          <w:numId w:val="18"/>
        </w:numPr>
      </w:pPr>
      <w:r>
        <w:t xml:space="preserve">A summary of remaining </w:t>
      </w:r>
      <w:r w:rsidR="005A3184">
        <w:t xml:space="preserve">residual risks that require ongoing </w:t>
      </w:r>
      <w:r w:rsidR="008E399B">
        <w:t xml:space="preserve">monitoring and </w:t>
      </w:r>
      <w:r w:rsidR="005A3184">
        <w:t xml:space="preserve">management </w:t>
      </w:r>
    </w:p>
    <w:p w14:paraId="6D6864BE" w14:textId="27E0C14B" w:rsidR="00727FBC" w:rsidRDefault="00727FBC" w:rsidP="00904A18">
      <w:pPr>
        <w:pStyle w:val="ListParagraph"/>
        <w:numPr>
          <w:ilvl w:val="0"/>
          <w:numId w:val="18"/>
        </w:numPr>
      </w:pPr>
      <w:r>
        <w:t xml:space="preserve">Standalone </w:t>
      </w:r>
      <w:r w:rsidR="006148B5">
        <w:t>post closure</w:t>
      </w:r>
      <w:r>
        <w:t xml:space="preserve"> risk assessment</w:t>
      </w:r>
      <w:r w:rsidR="000D2C54">
        <w:t>,</w:t>
      </w:r>
      <w:r w:rsidR="00FC2002">
        <w:t xml:space="preserve"> including description of the framework, methodology and process</w:t>
      </w:r>
      <w:r w:rsidR="00284BE6">
        <w:t xml:space="preserve"> and proposed review period</w:t>
      </w:r>
      <w:r w:rsidR="00FC2002">
        <w:t xml:space="preserve"> </w:t>
      </w:r>
    </w:p>
    <w:p w14:paraId="59F9BC17" w14:textId="198B141A" w:rsidR="0019379F" w:rsidRDefault="0019379F" w:rsidP="00904A18">
      <w:pPr>
        <w:pStyle w:val="ListParagraph"/>
        <w:numPr>
          <w:ilvl w:val="0"/>
          <w:numId w:val="18"/>
        </w:numPr>
      </w:pPr>
      <w:r>
        <w:t xml:space="preserve">Details of </w:t>
      </w:r>
      <w:r w:rsidR="00A75AD3">
        <w:t xml:space="preserve">the </w:t>
      </w:r>
      <w:r w:rsidR="006148B5">
        <w:t>post closure</w:t>
      </w:r>
      <w:r w:rsidR="00A75AD3">
        <w:t xml:space="preserve"> </w:t>
      </w:r>
      <w:r w:rsidR="000D2C54">
        <w:t xml:space="preserve">monitoring </w:t>
      </w:r>
      <w:r w:rsidR="006D0270">
        <w:t xml:space="preserve">(by domain and/ or </w:t>
      </w:r>
      <w:r w:rsidR="00FA4559">
        <w:t>sub-domain</w:t>
      </w:r>
      <w:r w:rsidR="0057595B">
        <w:t xml:space="preserve"> and discipline</w:t>
      </w:r>
      <w:r w:rsidR="00FA4559">
        <w:t>)</w:t>
      </w:r>
      <w:r w:rsidR="000D2C54">
        <w:t xml:space="preserve"> </w:t>
      </w:r>
      <w:r>
        <w:t>required</w:t>
      </w:r>
      <w:r w:rsidR="00A75AD3">
        <w:t>, including</w:t>
      </w:r>
      <w:r w:rsidR="00744A61">
        <w:t xml:space="preserve"> but not limited to</w:t>
      </w:r>
      <w:r>
        <w:t>:</w:t>
      </w:r>
    </w:p>
    <w:p w14:paraId="2D397E64" w14:textId="4202B4F7" w:rsidR="00F504AF" w:rsidRDefault="00F504AF" w:rsidP="00904A18">
      <w:pPr>
        <w:pStyle w:val="ListParagraph"/>
        <w:numPr>
          <w:ilvl w:val="1"/>
          <w:numId w:val="18"/>
        </w:numPr>
      </w:pPr>
      <w:r>
        <w:t>r</w:t>
      </w:r>
      <w:r w:rsidR="00C53233">
        <w:t xml:space="preserve">eference number for </w:t>
      </w:r>
      <w:r w:rsidR="00E449C9">
        <w:t>each</w:t>
      </w:r>
      <w:r w:rsidR="00C53233">
        <w:t xml:space="preserve"> monitoring</w:t>
      </w:r>
      <w:r w:rsidR="00E449C9">
        <w:t xml:space="preserve"> requirement</w:t>
      </w:r>
      <w:r w:rsidR="00C53233">
        <w:t xml:space="preserve"> </w:t>
      </w:r>
    </w:p>
    <w:p w14:paraId="47300475" w14:textId="699A0EE0" w:rsidR="000B1136" w:rsidRDefault="00D9571D" w:rsidP="00904A18">
      <w:pPr>
        <w:pStyle w:val="ListParagraph"/>
        <w:numPr>
          <w:ilvl w:val="1"/>
          <w:numId w:val="18"/>
        </w:numPr>
      </w:pPr>
      <w:r>
        <w:t>t</w:t>
      </w:r>
      <w:r w:rsidR="00492443">
        <w:t xml:space="preserve">he objective </w:t>
      </w:r>
    </w:p>
    <w:p w14:paraId="424DC5DC" w14:textId="0A4AB427" w:rsidR="00D9571D" w:rsidRDefault="00D9571D" w:rsidP="00904A18">
      <w:pPr>
        <w:pStyle w:val="ListParagraph"/>
        <w:numPr>
          <w:ilvl w:val="1"/>
          <w:numId w:val="18"/>
        </w:numPr>
      </w:pPr>
      <w:r>
        <w:t>t</w:t>
      </w:r>
      <w:r w:rsidR="007F4794">
        <w:t>he purpose of the monitoring</w:t>
      </w:r>
      <w:r w:rsidRPr="00D9571D">
        <w:t xml:space="preserve"> </w:t>
      </w:r>
      <w:r>
        <w:t>&amp; reference to relevant risk IDs</w:t>
      </w:r>
    </w:p>
    <w:p w14:paraId="50F664F4" w14:textId="2FD6D5E5" w:rsidR="00744A61" w:rsidRDefault="00C14050" w:rsidP="00904A18">
      <w:pPr>
        <w:pStyle w:val="ListParagraph"/>
        <w:numPr>
          <w:ilvl w:val="1"/>
          <w:numId w:val="18"/>
        </w:numPr>
      </w:pPr>
      <w:r>
        <w:t>description of</w:t>
      </w:r>
      <w:r w:rsidR="00492443">
        <w:t xml:space="preserve"> monitoring </w:t>
      </w:r>
    </w:p>
    <w:p w14:paraId="22347744" w14:textId="44550DD7" w:rsidR="00A5289F" w:rsidRDefault="006868AE" w:rsidP="00904A18">
      <w:pPr>
        <w:pStyle w:val="ListParagraph"/>
        <w:numPr>
          <w:ilvl w:val="1"/>
          <w:numId w:val="18"/>
        </w:numPr>
      </w:pPr>
      <w:r>
        <w:t xml:space="preserve">compliance levels/ </w:t>
      </w:r>
      <w:r w:rsidR="00A5289F">
        <w:t xml:space="preserve">triggers that </w:t>
      </w:r>
      <w:r w:rsidR="007C7976">
        <w:t xml:space="preserve">are relevant to the monitoring </w:t>
      </w:r>
    </w:p>
    <w:p w14:paraId="117614C7" w14:textId="4D6908AB" w:rsidR="007825A7" w:rsidRDefault="00E6599D" w:rsidP="00904A18">
      <w:pPr>
        <w:pStyle w:val="ListParagraph"/>
        <w:numPr>
          <w:ilvl w:val="1"/>
          <w:numId w:val="18"/>
        </w:numPr>
      </w:pPr>
      <w:r>
        <w:t>reference</w:t>
      </w:r>
      <w:r w:rsidR="007825A7" w:rsidDel="00AF4AAD">
        <w:t xml:space="preserve"> </w:t>
      </w:r>
      <w:r w:rsidR="00AF4AAD">
        <w:t>all</w:t>
      </w:r>
      <w:r w:rsidR="007825A7">
        <w:t xml:space="preserve"> ongoing regulatory requirements </w:t>
      </w:r>
      <w:r w:rsidR="006412AC">
        <w:t>&amp; reporting</w:t>
      </w:r>
      <w:r w:rsidR="007825A7">
        <w:t xml:space="preserve"> </w:t>
      </w:r>
      <w:r w:rsidR="00510AEC">
        <w:t>relevant to monitoring</w:t>
      </w:r>
      <w:r>
        <w:t xml:space="preserve"> </w:t>
      </w:r>
    </w:p>
    <w:p w14:paraId="6DD4AC54" w14:textId="77777777" w:rsidR="003E171A" w:rsidRDefault="00744A61" w:rsidP="00904A18">
      <w:pPr>
        <w:pStyle w:val="ListParagraph"/>
        <w:numPr>
          <w:ilvl w:val="1"/>
          <w:numId w:val="18"/>
        </w:numPr>
      </w:pPr>
      <w:r>
        <w:t>reference to landform designs</w:t>
      </w:r>
      <w:r w:rsidR="00F546A9">
        <w:t xml:space="preserve">/ </w:t>
      </w:r>
      <w:r>
        <w:t>structure</w:t>
      </w:r>
      <w:r w:rsidR="00A31D2A">
        <w:t xml:space="preserve"> designs</w:t>
      </w:r>
      <w:r w:rsidR="007825A7">
        <w:t>/ compliance requirements or other relevant information</w:t>
      </w:r>
    </w:p>
    <w:p w14:paraId="51D73C2B" w14:textId="7A75DD29" w:rsidR="000B1136" w:rsidRDefault="003E171A" w:rsidP="00904A18">
      <w:pPr>
        <w:pStyle w:val="ListParagraph"/>
        <w:numPr>
          <w:ilvl w:val="1"/>
          <w:numId w:val="18"/>
        </w:numPr>
      </w:pPr>
      <w:r>
        <w:t>references to relevant monitoring plans</w:t>
      </w:r>
      <w:r w:rsidR="005004DE">
        <w:t>/procedures</w:t>
      </w:r>
      <w:r>
        <w:t xml:space="preserve"> an</w:t>
      </w:r>
      <w:r w:rsidR="00845130">
        <w:t>d management plans</w:t>
      </w:r>
      <w:r>
        <w:t xml:space="preserve"> where further detail</w:t>
      </w:r>
      <w:r w:rsidR="00845130">
        <w:t>s</w:t>
      </w:r>
      <w:r>
        <w:t xml:space="preserve"> </w:t>
      </w:r>
      <w:r w:rsidR="00F904E4">
        <w:t xml:space="preserve">are provided </w:t>
      </w:r>
      <w:r>
        <w:t>on</w:t>
      </w:r>
      <w:r w:rsidR="00F904E4">
        <w:t xml:space="preserve"> (but not limited to);</w:t>
      </w:r>
      <w:r>
        <w:t xml:space="preserve"> location</w:t>
      </w:r>
      <w:r w:rsidR="0012548F">
        <w:t>s (</w:t>
      </w:r>
      <w:proofErr w:type="spellStart"/>
      <w:proofErr w:type="gramStart"/>
      <w:r w:rsidR="0012548F">
        <w:t>x,y</w:t>
      </w:r>
      <w:proofErr w:type="spellEnd"/>
      <w:proofErr w:type="gramEnd"/>
      <w:r w:rsidR="0012548F">
        <w:t xml:space="preserve"> ref</w:t>
      </w:r>
      <w:r w:rsidR="00D8200C">
        <w:t xml:space="preserve"> &amp; figures</w:t>
      </w:r>
      <w:r w:rsidR="0012548F">
        <w:t xml:space="preserve">) </w:t>
      </w:r>
      <w:r>
        <w:t>/ frequency</w:t>
      </w:r>
      <w:r w:rsidR="00B83237">
        <w:t xml:space="preserve"> </w:t>
      </w:r>
      <w:r>
        <w:t>/ analytes</w:t>
      </w:r>
      <w:r w:rsidR="00B83237">
        <w:t xml:space="preserve"> </w:t>
      </w:r>
      <w:r>
        <w:t>/ method</w:t>
      </w:r>
      <w:r w:rsidR="00845130">
        <w:t xml:space="preserve"> / compliance levels</w:t>
      </w:r>
      <w:r w:rsidR="00B83237">
        <w:t xml:space="preserve"> </w:t>
      </w:r>
      <w:r w:rsidR="00845130">
        <w:t>/ triggers</w:t>
      </w:r>
      <w:r w:rsidR="00B83237">
        <w:t xml:space="preserve"> </w:t>
      </w:r>
      <w:r w:rsidR="0020490F">
        <w:t>/ Trigger Action Response Plans (TARPs)</w:t>
      </w:r>
      <w:r>
        <w:t xml:space="preserve"> </w:t>
      </w:r>
      <w:r w:rsidR="00C14050">
        <w:t>etc</w:t>
      </w:r>
    </w:p>
    <w:p w14:paraId="1164F514" w14:textId="2A7A6879" w:rsidR="00F97E7D" w:rsidRDefault="00C619CC" w:rsidP="00904A18">
      <w:pPr>
        <w:pStyle w:val="ListParagraph"/>
        <w:numPr>
          <w:ilvl w:val="0"/>
          <w:numId w:val="18"/>
        </w:numPr>
      </w:pPr>
      <w:r>
        <w:t xml:space="preserve">Outline of all </w:t>
      </w:r>
      <w:r w:rsidR="00C866EF">
        <w:t xml:space="preserve">land </w:t>
      </w:r>
      <w:r>
        <w:t xml:space="preserve">maintenance </w:t>
      </w:r>
      <w:r w:rsidR="00C866EF">
        <w:t xml:space="preserve">requirements, </w:t>
      </w:r>
      <w:r w:rsidR="00D9571D">
        <w:t>by domain and sub-domain</w:t>
      </w:r>
      <w:r w:rsidR="00A1274D">
        <w:t>,</w:t>
      </w:r>
      <w:r w:rsidR="00C866EF">
        <w:t xml:space="preserve"> including </w:t>
      </w:r>
      <w:r w:rsidR="00D31385">
        <w:t>but not limited to</w:t>
      </w:r>
      <w:r w:rsidR="00904A18">
        <w:t>:</w:t>
      </w:r>
    </w:p>
    <w:p w14:paraId="70B25E0B" w14:textId="762D33F2" w:rsidR="00185BA4" w:rsidRDefault="00185BA4" w:rsidP="00904A18">
      <w:pPr>
        <w:pStyle w:val="ListParagraph"/>
        <w:numPr>
          <w:ilvl w:val="1"/>
          <w:numId w:val="18"/>
        </w:numPr>
      </w:pPr>
      <w:r>
        <w:t>reference number</w:t>
      </w:r>
      <w:r w:rsidR="00D92E33">
        <w:t xml:space="preserve"> for each</w:t>
      </w:r>
      <w:r>
        <w:t xml:space="preserve"> </w:t>
      </w:r>
      <w:r w:rsidR="00D92E33">
        <w:t>maintenance activity</w:t>
      </w:r>
    </w:p>
    <w:p w14:paraId="08A56FC9" w14:textId="045BCDC3" w:rsidR="00F97E7D" w:rsidRDefault="00F97E7D" w:rsidP="00904A18">
      <w:pPr>
        <w:pStyle w:val="ListParagraph"/>
        <w:numPr>
          <w:ilvl w:val="1"/>
          <w:numId w:val="18"/>
        </w:numPr>
      </w:pPr>
      <w:r>
        <w:t xml:space="preserve">the objective </w:t>
      </w:r>
    </w:p>
    <w:p w14:paraId="4DBE220C" w14:textId="7420E405" w:rsidR="00F97E7D" w:rsidRDefault="00F97E7D" w:rsidP="00904A18">
      <w:pPr>
        <w:pStyle w:val="ListParagraph"/>
        <w:numPr>
          <w:ilvl w:val="1"/>
          <w:numId w:val="18"/>
        </w:numPr>
      </w:pPr>
      <w:r>
        <w:t>the purpose of the maintenance</w:t>
      </w:r>
      <w:r w:rsidRPr="00D9571D">
        <w:t xml:space="preserve"> </w:t>
      </w:r>
      <w:r>
        <w:t>&amp; reference to relevant risk IDs</w:t>
      </w:r>
      <w:r w:rsidR="00D55322">
        <w:t xml:space="preserve"> &amp; monitoring </w:t>
      </w:r>
      <w:r w:rsidR="006A72B0">
        <w:t xml:space="preserve">ID </w:t>
      </w:r>
      <w:r w:rsidR="00D55322">
        <w:t>reference</w:t>
      </w:r>
    </w:p>
    <w:p w14:paraId="1D6D14F1" w14:textId="3E4EDE85" w:rsidR="002E63DE" w:rsidRDefault="00A5289F" w:rsidP="00904A18">
      <w:pPr>
        <w:pStyle w:val="ListParagraph"/>
        <w:numPr>
          <w:ilvl w:val="1"/>
          <w:numId w:val="18"/>
        </w:numPr>
      </w:pPr>
      <w:r>
        <w:t>t</w:t>
      </w:r>
      <w:r w:rsidR="00DB061A">
        <w:t xml:space="preserve">ype of maintenance </w:t>
      </w:r>
    </w:p>
    <w:p w14:paraId="4EF75A0C" w14:textId="13F88833" w:rsidR="005712D0" w:rsidRDefault="008A5176" w:rsidP="00904A18">
      <w:pPr>
        <w:pStyle w:val="ListParagraph"/>
        <w:numPr>
          <w:ilvl w:val="1"/>
          <w:numId w:val="18"/>
        </w:numPr>
      </w:pPr>
      <w:r>
        <w:t xml:space="preserve">frequency </w:t>
      </w:r>
      <w:r w:rsidR="00D92E33">
        <w:t xml:space="preserve">and/ </w:t>
      </w:r>
      <w:r>
        <w:t xml:space="preserve">or trigger </w:t>
      </w:r>
      <w:r w:rsidR="005712D0">
        <w:t xml:space="preserve">for maintenance </w:t>
      </w:r>
    </w:p>
    <w:p w14:paraId="39075660" w14:textId="361AA5D7" w:rsidR="00C619CC" w:rsidRDefault="005712D0" w:rsidP="00904A18">
      <w:pPr>
        <w:pStyle w:val="ListParagraph"/>
        <w:numPr>
          <w:ilvl w:val="1"/>
          <w:numId w:val="18"/>
        </w:numPr>
      </w:pPr>
      <w:r>
        <w:t>references</w:t>
      </w:r>
      <w:r w:rsidR="006736FA">
        <w:t xml:space="preserve"> to </w:t>
      </w:r>
      <w:r>
        <w:t>the management plans where further details are provided</w:t>
      </w:r>
    </w:p>
    <w:p w14:paraId="56ABA6EC" w14:textId="3912FE3D" w:rsidR="00A5771A" w:rsidRDefault="00925048" w:rsidP="00904A18">
      <w:pPr>
        <w:pStyle w:val="ListParagraph"/>
        <w:numPr>
          <w:ilvl w:val="0"/>
          <w:numId w:val="18"/>
        </w:numPr>
      </w:pPr>
      <w:r>
        <w:t>w</w:t>
      </w:r>
      <w:r w:rsidR="00A5771A">
        <w:t xml:space="preserve">hat is </w:t>
      </w:r>
      <w:r w:rsidR="00F504AF">
        <w:t xml:space="preserve">considered </w:t>
      </w:r>
      <w:r w:rsidR="00A5771A">
        <w:t>“normal” land management per domain</w:t>
      </w:r>
      <w:r w:rsidR="004D3853">
        <w:t xml:space="preserve"> and sub-domain</w:t>
      </w:r>
      <w:r w:rsidR="00633F99">
        <w:t xml:space="preserve"> and therefore excluded from residual liabilities </w:t>
      </w:r>
    </w:p>
    <w:p w14:paraId="3180CEF3" w14:textId="605A90AB" w:rsidR="00112DB5" w:rsidRDefault="00C95B22" w:rsidP="00904A18">
      <w:pPr>
        <w:pStyle w:val="ListParagraph"/>
        <w:numPr>
          <w:ilvl w:val="0"/>
          <w:numId w:val="18"/>
        </w:numPr>
      </w:pPr>
      <w:r>
        <w:t>i</w:t>
      </w:r>
      <w:r w:rsidR="00822C3E">
        <w:t xml:space="preserve">nclusion of </w:t>
      </w:r>
      <w:r w:rsidR="00323E64">
        <w:t>c</w:t>
      </w:r>
      <w:r w:rsidR="00112DB5">
        <w:t xml:space="preserve">ontingency planning </w:t>
      </w:r>
      <w:r w:rsidR="003C29DF">
        <w:t xml:space="preserve">summary, </w:t>
      </w:r>
      <w:r w:rsidR="0DB90777">
        <w:t xml:space="preserve">taking into </w:t>
      </w:r>
      <w:r w:rsidR="00472EC2">
        <w:t>c</w:t>
      </w:r>
      <w:r w:rsidR="00822C3E">
        <w:t>onsider</w:t>
      </w:r>
      <w:r w:rsidR="7D417CE7">
        <w:t>ation</w:t>
      </w:r>
      <w:r w:rsidR="000B3602">
        <w:t xml:space="preserve"> </w:t>
      </w:r>
      <w:r w:rsidR="00822C3E">
        <w:t xml:space="preserve">potential for catastrophic failures of the landform </w:t>
      </w:r>
      <w:r w:rsidR="00472EC2">
        <w:t xml:space="preserve">and </w:t>
      </w:r>
      <w:r w:rsidR="00E54463">
        <w:t>unforeseen</w:t>
      </w:r>
      <w:r w:rsidR="00472EC2">
        <w:t xml:space="preserve"> events</w:t>
      </w:r>
      <w:r w:rsidR="003C29DF">
        <w:t>,</w:t>
      </w:r>
      <w:r w:rsidR="00472EC2">
        <w:t xml:space="preserve"> </w:t>
      </w:r>
      <w:r w:rsidR="00822C3E">
        <w:t>caused by natural or human processes</w:t>
      </w:r>
      <w:r w:rsidR="003C29DF">
        <w:t>.</w:t>
      </w:r>
      <w:r w:rsidR="00822C3E">
        <w:t xml:space="preserve"> </w:t>
      </w:r>
      <w:r w:rsidR="003C29DF">
        <w:t>R</w:t>
      </w:r>
      <w:r w:rsidR="00822C3E">
        <w:t>eferenc</w:t>
      </w:r>
      <w:r w:rsidR="003C29DF">
        <w:t xml:space="preserve">e to where </w:t>
      </w:r>
      <w:r w:rsidR="00822C3E">
        <w:t xml:space="preserve">a </w:t>
      </w:r>
      <w:r w:rsidR="004B0498">
        <w:t>contingency</w:t>
      </w:r>
      <w:r w:rsidR="00822C3E">
        <w:t xml:space="preserve"> management plan</w:t>
      </w:r>
      <w:r w:rsidR="00653CD1">
        <w:t xml:space="preserve"> provides </w:t>
      </w:r>
      <w:r w:rsidR="00067E72">
        <w:t xml:space="preserve">additional </w:t>
      </w:r>
      <w:r w:rsidR="000A023F">
        <w:t xml:space="preserve">background and </w:t>
      </w:r>
      <w:r w:rsidR="00067E72">
        <w:t>management information</w:t>
      </w:r>
    </w:p>
    <w:p w14:paraId="45A3ADBA" w14:textId="2F368417" w:rsidR="00727FBC" w:rsidRDefault="00925048" w:rsidP="00904A18">
      <w:pPr>
        <w:pStyle w:val="ListParagraph"/>
        <w:numPr>
          <w:ilvl w:val="0"/>
          <w:numId w:val="18"/>
        </w:numPr>
      </w:pPr>
      <w:r>
        <w:t>i</w:t>
      </w:r>
      <w:r w:rsidR="000D2C54">
        <w:t>nclusion of a</w:t>
      </w:r>
      <w:r w:rsidR="00727FBC">
        <w:t xml:space="preserve">ll </w:t>
      </w:r>
      <w:r w:rsidR="004D3853">
        <w:t xml:space="preserve">monitoring plans and </w:t>
      </w:r>
      <w:r w:rsidR="00727FBC">
        <w:t xml:space="preserve">management plans identified as part of </w:t>
      </w:r>
      <w:r w:rsidR="000D2C54">
        <w:t xml:space="preserve">risk assessment </w:t>
      </w:r>
      <w:r w:rsidR="00727FBC">
        <w:t>process</w:t>
      </w:r>
      <w:r w:rsidR="000D2C54">
        <w:t xml:space="preserve"> </w:t>
      </w:r>
    </w:p>
    <w:p w14:paraId="278958F5" w14:textId="18EBA239" w:rsidR="00C21320" w:rsidRDefault="00925048" w:rsidP="00904A18">
      <w:pPr>
        <w:pStyle w:val="ListParagraph"/>
        <w:numPr>
          <w:ilvl w:val="0"/>
          <w:numId w:val="18"/>
        </w:numPr>
      </w:pPr>
      <w:r>
        <w:t>r</w:t>
      </w:r>
      <w:r w:rsidR="00E8126C">
        <w:t xml:space="preserve">elevant drawings, figures, </w:t>
      </w:r>
      <w:r w:rsidR="00633F99">
        <w:t xml:space="preserve">final detailed </w:t>
      </w:r>
      <w:r w:rsidR="00E8126C">
        <w:t>designs, risk mapping,</w:t>
      </w:r>
      <w:r w:rsidR="00C10F05">
        <w:t xml:space="preserve"> </w:t>
      </w:r>
      <w:r w:rsidR="0023434E">
        <w:t xml:space="preserve">that support the </w:t>
      </w:r>
      <w:r w:rsidR="006148B5">
        <w:t>post closure</w:t>
      </w:r>
      <w:r w:rsidR="0023434E">
        <w:t xml:space="preserve"> risk assessment </w:t>
      </w:r>
      <w:r w:rsidR="003A7243">
        <w:t>and ongoing management</w:t>
      </w:r>
      <w:r w:rsidR="00A719DF">
        <w:t>.</w:t>
      </w:r>
      <w:r w:rsidR="009515C9">
        <w:t xml:space="preserve"> </w:t>
      </w:r>
    </w:p>
    <w:p w14:paraId="70EF9542" w14:textId="4EBA6161" w:rsidR="001A05AF" w:rsidRDefault="00651651" w:rsidP="00710E69">
      <w:r>
        <w:t>All</w:t>
      </w:r>
      <w:r w:rsidR="00874AE6">
        <w:t xml:space="preserve"> </w:t>
      </w:r>
      <w:r w:rsidR="007B07EA">
        <w:t>p</w:t>
      </w:r>
      <w:r w:rsidR="00EB7D82">
        <w:t>rescribed records and information</w:t>
      </w:r>
      <w:r w:rsidR="00C51940">
        <w:rPr>
          <w:rStyle w:val="FootnoteReference"/>
        </w:rPr>
        <w:footnoteReference w:id="42"/>
      </w:r>
      <w:r w:rsidR="00EB7D82">
        <w:t xml:space="preserve">, such as </w:t>
      </w:r>
      <w:r w:rsidR="00874AE6">
        <w:t>relevant maps</w:t>
      </w:r>
      <w:r w:rsidR="00BE3F62">
        <w:t>,</w:t>
      </w:r>
      <w:r w:rsidR="000D1011">
        <w:t xml:space="preserve"> plans,</w:t>
      </w:r>
      <w:r w:rsidR="00BE3F62">
        <w:t xml:space="preserve"> design documentation</w:t>
      </w:r>
      <w:r w:rsidR="00DC2CE6">
        <w:t xml:space="preserve">, </w:t>
      </w:r>
      <w:r w:rsidR="0028440E">
        <w:t xml:space="preserve">survey information, and other </w:t>
      </w:r>
      <w:r w:rsidR="5D87D2BF">
        <w:t xml:space="preserve">supporting materials </w:t>
      </w:r>
      <w:r w:rsidR="0028440E">
        <w:t xml:space="preserve">required </w:t>
      </w:r>
      <w:r w:rsidR="457D43F8">
        <w:t xml:space="preserve">for the effective </w:t>
      </w:r>
      <w:r w:rsidR="00A1437A">
        <w:t xml:space="preserve">understanding and implementation of the </w:t>
      </w:r>
      <w:r w:rsidR="006148B5">
        <w:t>post closure</w:t>
      </w:r>
      <w:r w:rsidR="00A1437A">
        <w:t xml:space="preserve"> plan</w:t>
      </w:r>
      <w:r w:rsidR="7268988C">
        <w:t xml:space="preserve"> should be included</w:t>
      </w:r>
      <w:r w:rsidR="00A1437A">
        <w:t xml:space="preserve">. </w:t>
      </w:r>
      <w:r w:rsidR="005554F1">
        <w:t xml:space="preserve">All maps and plans provided should be to scale and legible. </w:t>
      </w:r>
      <w:r w:rsidR="00963F2B">
        <w:t>The</w:t>
      </w:r>
      <w:r w:rsidR="00643264">
        <w:t xml:space="preserve"> </w:t>
      </w:r>
      <w:r w:rsidR="005554F1">
        <w:t xml:space="preserve">plan </w:t>
      </w:r>
      <w:r w:rsidR="00643264">
        <w:t xml:space="preserve">should be provided in digital </w:t>
      </w:r>
      <w:r w:rsidR="12643C9B">
        <w:t xml:space="preserve">formats </w:t>
      </w:r>
      <w:r w:rsidR="00643264">
        <w:t>(</w:t>
      </w:r>
      <w:r w:rsidR="00347450">
        <w:t>e.g.</w:t>
      </w:r>
      <w:r w:rsidR="20649000">
        <w:t xml:space="preserve">, </w:t>
      </w:r>
      <w:r w:rsidR="00643264">
        <w:t xml:space="preserve">.docx and .pdf) format, </w:t>
      </w:r>
      <w:r w:rsidR="0067674F">
        <w:t xml:space="preserve">with </w:t>
      </w:r>
      <w:r w:rsidR="1728C793">
        <w:t xml:space="preserve">associated </w:t>
      </w:r>
      <w:r w:rsidR="0067674F">
        <w:t xml:space="preserve">data provided </w:t>
      </w:r>
      <w:r w:rsidR="002A422D">
        <w:t xml:space="preserve">in a format that can be imported into a GIS database (such as ArcGIS). </w:t>
      </w:r>
      <w:r w:rsidR="00963F2B">
        <w:t xml:space="preserve"> </w:t>
      </w:r>
    </w:p>
    <w:p w14:paraId="7204F56B" w14:textId="5D63F4B4" w:rsidR="00936A08" w:rsidRDefault="001A4A7D" w:rsidP="00710E69">
      <w:r>
        <w:lastRenderedPageBreak/>
        <w:t xml:space="preserve">Due to the likely size and complexity of the </w:t>
      </w:r>
      <w:r w:rsidR="006148B5">
        <w:t>post closure</w:t>
      </w:r>
      <w:r>
        <w:t xml:space="preserve"> plan, it is recommended it is treated as a standalone document within the DMRP. </w:t>
      </w:r>
    </w:p>
    <w:p w14:paraId="25532B59" w14:textId="0E5F1A4B" w:rsidR="00CC5C55" w:rsidRDefault="000D51B1" w:rsidP="00352CDE">
      <w:pPr>
        <w:pStyle w:val="Heading1"/>
      </w:pPr>
      <w:bookmarkStart w:id="79" w:name="_Toc215653669"/>
      <w:bookmarkStart w:id="80" w:name="_Toc220407028"/>
      <w:r>
        <w:t>Summary</w:t>
      </w:r>
      <w:bookmarkEnd w:id="79"/>
      <w:bookmarkEnd w:id="80"/>
      <w:r w:rsidR="000A57B3">
        <w:t xml:space="preserve"> </w:t>
      </w:r>
    </w:p>
    <w:p w14:paraId="1A0291F9" w14:textId="41A30DFA" w:rsidR="00596005" w:rsidRDefault="007D781A" w:rsidP="00596005">
      <w:r>
        <w:t xml:space="preserve">The document has been prepared to help bridge the risk assessment process for operations to </w:t>
      </w:r>
      <w:r w:rsidR="006148B5">
        <w:t>post closure</w:t>
      </w:r>
      <w:r>
        <w:t xml:space="preserve"> so that the discrete </w:t>
      </w:r>
      <w:r w:rsidR="006148B5">
        <w:t>post closure</w:t>
      </w:r>
      <w:r>
        <w:t xml:space="preserve"> risk assessment can be developed. The </w:t>
      </w:r>
      <w:r w:rsidR="006148B5">
        <w:t>post closure</w:t>
      </w:r>
      <w:r>
        <w:t xml:space="preserve"> risk assessment forms an intrinsic part of the development of a structured </w:t>
      </w:r>
      <w:r w:rsidR="006148B5">
        <w:t>post closure</w:t>
      </w:r>
      <w:r>
        <w:t xml:space="preserve"> plan that can be operationalised following closure determination by future land managers.</w:t>
      </w:r>
      <w:r w:rsidR="00596005" w:rsidRPr="00596005">
        <w:t xml:space="preserve"> </w:t>
      </w:r>
    </w:p>
    <w:p w14:paraId="38FD5824" w14:textId="53714C95" w:rsidR="00596005" w:rsidRDefault="00596005" w:rsidP="00596005">
      <w:r>
        <w:t xml:space="preserve">A robust </w:t>
      </w:r>
      <w:r w:rsidR="006148B5">
        <w:t>post closure</w:t>
      </w:r>
      <w:r>
        <w:t xml:space="preserve"> risk assessment process can be informed by tiers of more detailed assessments focussing on elevated risk areas, key subject matters, remaining engineering structures and critical controls. </w:t>
      </w:r>
    </w:p>
    <w:p w14:paraId="2A4D80A7" w14:textId="77777777" w:rsidR="00052339" w:rsidRDefault="00052339" w:rsidP="00052339">
      <w:r>
        <w:t xml:space="preserve">In line with AS/NZS ISO 31000:2009, the risk assessment process should be iterative. Risks should be systematically analysed and evaluated, with additional control measures introduced and implemented until residual risks are either eliminated or reduced as far as reasonably practicable. This iterative approach also provides a key input into risk-based landform design, where the design progressively evolves in response to identified risks and associated controls. </w:t>
      </w:r>
    </w:p>
    <w:p w14:paraId="6CAF9611" w14:textId="5D522541" w:rsidR="00744B96" w:rsidRDefault="00744B96" w:rsidP="00744B96">
      <w:r>
        <w:t xml:space="preserve">By adopting a tiered approach, and explicitly considering the potential failure modes of the landform, the closure process will help ensure that for </w:t>
      </w:r>
      <w:r w:rsidR="006148B5">
        <w:t>post closure</w:t>
      </w:r>
      <w:r>
        <w:t>:</w:t>
      </w:r>
    </w:p>
    <w:p w14:paraId="271CEC55" w14:textId="6C3753D4" w:rsidR="00744B96" w:rsidRDefault="00744B96" w:rsidP="00744B96">
      <w:pPr>
        <w:pStyle w:val="ListParagraph"/>
        <w:numPr>
          <w:ilvl w:val="0"/>
          <w:numId w:val="19"/>
        </w:numPr>
      </w:pPr>
      <w:r>
        <w:t xml:space="preserve">designs are fit for purpose and can support proposed future </w:t>
      </w:r>
      <w:r w:rsidR="006148B5">
        <w:t>post closure</w:t>
      </w:r>
      <w:r>
        <w:t xml:space="preserve"> land uses, and </w:t>
      </w:r>
    </w:p>
    <w:p w14:paraId="1BA350EC" w14:textId="77777777" w:rsidR="00744B96" w:rsidRDefault="00744B96" w:rsidP="00744B96">
      <w:pPr>
        <w:pStyle w:val="ListParagraph"/>
        <w:numPr>
          <w:ilvl w:val="0"/>
          <w:numId w:val="19"/>
        </w:numPr>
      </w:pPr>
      <w:r>
        <w:t xml:space="preserve">a robust process is in place to identify all ongoing monitoring and maintenance controls, ensuring that any potential residual risks remaining on the declared mine land are appropriately managed. </w:t>
      </w:r>
    </w:p>
    <w:p w14:paraId="6364319E" w14:textId="4EECF11A" w:rsidR="00744B96" w:rsidRDefault="00744B96" w:rsidP="00744B96">
      <w:r>
        <w:t>In accordance with S84AL(</w:t>
      </w:r>
      <w:proofErr w:type="gramStart"/>
      <w:r>
        <w:t>1)(</w:t>
      </w:r>
      <w:proofErr w:type="gramEnd"/>
      <w:r>
        <w:t>kb), S84AL(</w:t>
      </w:r>
      <w:proofErr w:type="gramStart"/>
      <w:r>
        <w:t>1)(</w:t>
      </w:r>
      <w:proofErr w:type="spellStart"/>
      <w:proofErr w:type="gramEnd"/>
      <w:r>
        <w:t>kh</w:t>
      </w:r>
      <w:proofErr w:type="spellEnd"/>
      <w:r>
        <w:t xml:space="preserve">) and S84AZU(3)(c) of the MRSDA, the MLRA will have a key role in the </w:t>
      </w:r>
      <w:r w:rsidR="006148B5">
        <w:t>post closure</w:t>
      </w:r>
      <w:r>
        <w:t xml:space="preserve"> management of declared </w:t>
      </w:r>
      <w:proofErr w:type="gramStart"/>
      <w:r>
        <w:t>mine</w:t>
      </w:r>
      <w:proofErr w:type="gramEnd"/>
      <w:r>
        <w:t xml:space="preserve"> land. The Authority will be responsible for either implementing or providing oversight on the implementation of the relevant registered </w:t>
      </w:r>
      <w:r w:rsidR="006148B5">
        <w:t>post closure</w:t>
      </w:r>
      <w:r>
        <w:t xml:space="preserve"> plans. As such, the MLRA has a vested interest in the development and undertaking of each declared mine’s </w:t>
      </w:r>
      <w:r w:rsidR="006148B5">
        <w:t>post closure</w:t>
      </w:r>
      <w:r>
        <w:t xml:space="preserve"> risk assessments and management plans.</w:t>
      </w:r>
      <w:r w:rsidRPr="00681F8D">
        <w:t xml:space="preserve"> </w:t>
      </w:r>
    </w:p>
    <w:p w14:paraId="77CE15A3" w14:textId="595F930E" w:rsidR="007D781A" w:rsidRDefault="00744B96" w:rsidP="007D781A">
      <w:r>
        <w:t xml:space="preserve">The Mine Land Rehabilitation Authority (MLRA) prepared this discussion paper to outline key considerations and potential methodologies to assist in undertaking </w:t>
      </w:r>
      <w:r w:rsidR="006148B5">
        <w:t>post closure</w:t>
      </w:r>
      <w:r>
        <w:t xml:space="preserve"> risk assessments and providing provision for </w:t>
      </w:r>
      <w:r w:rsidR="006148B5">
        <w:t>post closure</w:t>
      </w:r>
      <w:r>
        <w:t xml:space="preserve">, while </w:t>
      </w:r>
      <w:r w:rsidRPr="007109BB">
        <w:t>prompt</w:t>
      </w:r>
      <w:r>
        <w:t>ing</w:t>
      </w:r>
      <w:r w:rsidRPr="007109BB">
        <w:t xml:space="preserve"> </w:t>
      </w:r>
      <w:r>
        <w:t xml:space="preserve">thought and feedback for consideration by government and the mine licensees. </w:t>
      </w:r>
    </w:p>
    <w:p w14:paraId="2A9F415C" w14:textId="6DC04F52" w:rsidR="00660613" w:rsidRDefault="005E6FFE" w:rsidP="00774971">
      <w:pPr>
        <w:pStyle w:val="Heading2"/>
      </w:pPr>
      <w:bookmarkStart w:id="81" w:name="_Toc215653670"/>
      <w:bookmarkStart w:id="82" w:name="_Toc220407029"/>
      <w:r>
        <w:t>Key considerations</w:t>
      </w:r>
      <w:bookmarkEnd w:id="81"/>
      <w:bookmarkEnd w:id="82"/>
    </w:p>
    <w:p w14:paraId="52AE31BA" w14:textId="20B645BF" w:rsidR="006526FA" w:rsidRPr="006526FA" w:rsidRDefault="00D7042C" w:rsidP="00774971">
      <w:r>
        <w:t>T</w:t>
      </w:r>
      <w:r w:rsidR="00CD6B25">
        <w:t xml:space="preserve">he following </w:t>
      </w:r>
      <w:r w:rsidR="00BD0834">
        <w:t xml:space="preserve">key aspects </w:t>
      </w:r>
      <w:r w:rsidR="00CD6B25">
        <w:t xml:space="preserve">should be considered as part of the </w:t>
      </w:r>
      <w:r w:rsidR="006148B5">
        <w:t>post closure</w:t>
      </w:r>
      <w:r w:rsidR="00707DE2">
        <w:t xml:space="preserve"> </w:t>
      </w:r>
      <w:r w:rsidR="00CD6B25">
        <w:t>risk assessment:</w:t>
      </w:r>
    </w:p>
    <w:p w14:paraId="41B2C687" w14:textId="05983602" w:rsidR="00E253C3" w:rsidRDefault="00875D59" w:rsidP="00904A18">
      <w:pPr>
        <w:pStyle w:val="ListParagraph"/>
        <w:numPr>
          <w:ilvl w:val="0"/>
          <w:numId w:val="8"/>
        </w:numPr>
      </w:pPr>
      <w:r>
        <w:t>d</w:t>
      </w:r>
      <w:r w:rsidR="000A7F70">
        <w:t xml:space="preserve">escribe </w:t>
      </w:r>
      <w:r w:rsidR="00E253C3">
        <w:t xml:space="preserve">a risk framework that links all risk assessments </w:t>
      </w:r>
      <w:r w:rsidR="004B1571">
        <w:t xml:space="preserve">and risk management plans </w:t>
      </w:r>
      <w:r w:rsidR="00E253C3">
        <w:t>together and sets out the requirement for more detailed assessment on key remaining structures</w:t>
      </w:r>
      <w:r w:rsidR="005C0F74">
        <w:t xml:space="preserve"> </w:t>
      </w:r>
      <w:r w:rsidR="00E253C3">
        <w:t>/ controls</w:t>
      </w:r>
    </w:p>
    <w:p w14:paraId="7B1D00F6" w14:textId="4A5F5F66" w:rsidR="00922098" w:rsidRDefault="00875D59" w:rsidP="00904A18">
      <w:pPr>
        <w:pStyle w:val="ListParagraph"/>
        <w:numPr>
          <w:ilvl w:val="0"/>
          <w:numId w:val="8"/>
        </w:numPr>
      </w:pPr>
      <w:r>
        <w:t>a</w:t>
      </w:r>
      <w:r w:rsidR="00CD6B25">
        <w:t xml:space="preserve"> d</w:t>
      </w:r>
      <w:r w:rsidR="00922098">
        <w:t>edicated</w:t>
      </w:r>
      <w:r w:rsidR="00CD6B25">
        <w:t xml:space="preserve"> / standalone</w:t>
      </w:r>
      <w:r w:rsidR="00922098">
        <w:t xml:space="preserve"> </w:t>
      </w:r>
      <w:r w:rsidR="006148B5">
        <w:t>post closure</w:t>
      </w:r>
      <w:r w:rsidR="00660613">
        <w:t xml:space="preserve"> </w:t>
      </w:r>
      <w:r w:rsidR="00922098">
        <w:t>risk assessment</w:t>
      </w:r>
      <w:r w:rsidR="007A05CB">
        <w:t>,</w:t>
      </w:r>
      <w:r w:rsidR="00922098">
        <w:t xml:space="preserve"> which is distinc</w:t>
      </w:r>
      <w:r w:rsidR="00CD6B25">
        <w:t xml:space="preserve">t </w:t>
      </w:r>
      <w:r w:rsidR="00922098">
        <w:t>from the operational risk assessment</w:t>
      </w:r>
      <w:r w:rsidR="00DC3F9F">
        <w:t xml:space="preserve"> </w:t>
      </w:r>
    </w:p>
    <w:p w14:paraId="46779DB9" w14:textId="1567126E" w:rsidR="00736B9F" w:rsidRDefault="00875D59" w:rsidP="00904A18">
      <w:pPr>
        <w:pStyle w:val="ListParagraph"/>
        <w:numPr>
          <w:ilvl w:val="0"/>
          <w:numId w:val="8"/>
        </w:numPr>
      </w:pPr>
      <w:r>
        <w:t>p</w:t>
      </w:r>
      <w:r w:rsidR="00736B9F">
        <w:t>rior to commencing the risk assessment, have a clear</w:t>
      </w:r>
      <w:r w:rsidR="00F66182">
        <w:t>ly defined starting point</w:t>
      </w:r>
      <w:r w:rsidR="00B3075B">
        <w:t xml:space="preserve"> </w:t>
      </w:r>
      <w:r w:rsidR="009D14CB">
        <w:t>including a</w:t>
      </w:r>
      <w:r w:rsidR="00E66666">
        <w:t xml:space="preserve"> </w:t>
      </w:r>
      <w:r w:rsidR="00B7381A">
        <w:t xml:space="preserve">clear understanding of the </w:t>
      </w:r>
      <w:r w:rsidR="009D14CB">
        <w:t xml:space="preserve">controls which are implicitly incorporated into the final landform design </w:t>
      </w:r>
    </w:p>
    <w:p w14:paraId="021EC7B7" w14:textId="7282240C" w:rsidR="00623796" w:rsidRDefault="00875D59" w:rsidP="00904A18">
      <w:pPr>
        <w:pStyle w:val="ListParagraph"/>
        <w:numPr>
          <w:ilvl w:val="0"/>
          <w:numId w:val="8"/>
        </w:numPr>
      </w:pPr>
      <w:r>
        <w:t>t</w:t>
      </w:r>
      <w:r w:rsidR="00CD6B25">
        <w:t xml:space="preserve">he </w:t>
      </w:r>
      <w:r w:rsidR="006148B5">
        <w:t>post closure</w:t>
      </w:r>
      <w:r w:rsidR="00117CBA">
        <w:t xml:space="preserve"> </w:t>
      </w:r>
      <w:r w:rsidR="00CD6B25">
        <w:t>risk assessment should have e</w:t>
      </w:r>
      <w:r w:rsidR="00922098">
        <w:t xml:space="preserve">xplicit consideration </w:t>
      </w:r>
      <w:r w:rsidR="00DC3F9F">
        <w:t>for</w:t>
      </w:r>
      <w:r w:rsidR="0095577C">
        <w:t xml:space="preserve"> the following</w:t>
      </w:r>
      <w:r w:rsidR="00117CBA">
        <w:t xml:space="preserve"> after </w:t>
      </w:r>
      <w:r w:rsidR="00E37966">
        <w:t xml:space="preserve">licence </w:t>
      </w:r>
      <w:r w:rsidR="005376A7">
        <w:t>surrender</w:t>
      </w:r>
      <w:r w:rsidR="00623796">
        <w:t>:</w:t>
      </w:r>
    </w:p>
    <w:p w14:paraId="3F69675C" w14:textId="05493AFB" w:rsidR="00FA0702" w:rsidRPr="00F00CA7" w:rsidRDefault="0095577C" w:rsidP="00904A18">
      <w:pPr>
        <w:pStyle w:val="ListParagraph"/>
        <w:numPr>
          <w:ilvl w:val="1"/>
          <w:numId w:val="8"/>
        </w:numPr>
      </w:pPr>
      <w:r>
        <w:t>f</w:t>
      </w:r>
      <w:r w:rsidR="00FA0702" w:rsidRPr="00F00CA7">
        <w:t xml:space="preserve">inal </w:t>
      </w:r>
      <w:r w:rsidR="00117CBA">
        <w:t xml:space="preserve">rehabilitated </w:t>
      </w:r>
      <w:r w:rsidR="00FA0702" w:rsidRPr="00F00CA7">
        <w:t xml:space="preserve">landform </w:t>
      </w:r>
    </w:p>
    <w:p w14:paraId="7EE77670" w14:textId="1408F9B9" w:rsidR="00623796" w:rsidRDefault="00623796" w:rsidP="00904A18">
      <w:pPr>
        <w:pStyle w:val="ListParagraph"/>
        <w:numPr>
          <w:ilvl w:val="1"/>
          <w:numId w:val="8"/>
        </w:numPr>
      </w:pPr>
      <w:r>
        <w:t>proposed end land uses</w:t>
      </w:r>
      <w:r w:rsidR="003144F9">
        <w:t xml:space="preserve"> </w:t>
      </w:r>
      <w:r w:rsidR="00540DB2">
        <w:t>and landholders</w:t>
      </w:r>
      <w:r w:rsidR="0073681C">
        <w:t xml:space="preserve"> (if known)</w:t>
      </w:r>
    </w:p>
    <w:p w14:paraId="50FD1168" w14:textId="6E46CC7E" w:rsidR="00540DB2" w:rsidRDefault="00540DB2" w:rsidP="00904A18">
      <w:pPr>
        <w:pStyle w:val="ListParagraph"/>
        <w:numPr>
          <w:ilvl w:val="1"/>
          <w:numId w:val="8"/>
        </w:numPr>
      </w:pPr>
      <w:r>
        <w:t>climate change</w:t>
      </w:r>
    </w:p>
    <w:p w14:paraId="7B352DC5" w14:textId="68A5449F" w:rsidR="00FA0702" w:rsidRDefault="006B3C99" w:rsidP="00904A18">
      <w:pPr>
        <w:pStyle w:val="ListParagraph"/>
        <w:numPr>
          <w:ilvl w:val="1"/>
          <w:numId w:val="8"/>
        </w:numPr>
      </w:pPr>
      <w:r>
        <w:t xml:space="preserve">existing, </w:t>
      </w:r>
      <w:r w:rsidR="0056560D">
        <w:t xml:space="preserve">new and </w:t>
      </w:r>
      <w:r w:rsidR="00DC3F9F">
        <w:t>c</w:t>
      </w:r>
      <w:r w:rsidR="00922098">
        <w:t>hanging receptors</w:t>
      </w:r>
    </w:p>
    <w:p w14:paraId="22C465FD" w14:textId="7E6B5D80" w:rsidR="00623796" w:rsidRDefault="00FA0702" w:rsidP="00904A18">
      <w:pPr>
        <w:pStyle w:val="ListParagraph"/>
        <w:numPr>
          <w:ilvl w:val="1"/>
          <w:numId w:val="8"/>
        </w:numPr>
      </w:pPr>
      <w:r>
        <w:t xml:space="preserve">potential failure modes </w:t>
      </w:r>
      <w:r w:rsidR="00922098">
        <w:t xml:space="preserve"> </w:t>
      </w:r>
    </w:p>
    <w:p w14:paraId="2CAA7899" w14:textId="2557832C" w:rsidR="002E5129" w:rsidRDefault="006B3C99" w:rsidP="00904A18">
      <w:pPr>
        <w:pStyle w:val="ListParagraph"/>
        <w:numPr>
          <w:ilvl w:val="1"/>
          <w:numId w:val="8"/>
        </w:numPr>
      </w:pPr>
      <w:r>
        <w:lastRenderedPageBreak/>
        <w:t xml:space="preserve">existing, new and changing </w:t>
      </w:r>
      <w:r w:rsidR="00922098">
        <w:t>exposure pathways</w:t>
      </w:r>
      <w:r w:rsidR="00DC3F9F">
        <w:t xml:space="preserve"> </w:t>
      </w:r>
    </w:p>
    <w:p w14:paraId="76FCB027" w14:textId="165D86B0" w:rsidR="00C550BF" w:rsidRPr="007754D0" w:rsidRDefault="006148B5" w:rsidP="00904A18">
      <w:pPr>
        <w:pStyle w:val="ListParagraph"/>
        <w:numPr>
          <w:ilvl w:val="1"/>
          <w:numId w:val="8"/>
        </w:numPr>
      </w:pPr>
      <w:r>
        <w:t>post closure</w:t>
      </w:r>
      <w:r w:rsidR="00C550BF" w:rsidRPr="007754D0">
        <w:t xml:space="preserve"> timeframes and its influence on the assessment of the likelihood of a risk event</w:t>
      </w:r>
    </w:p>
    <w:p w14:paraId="4523A3D6" w14:textId="257947F3" w:rsidR="00C550BF" w:rsidRPr="00F3350D" w:rsidRDefault="00F3350D" w:rsidP="00904A18">
      <w:pPr>
        <w:pStyle w:val="ListParagraph"/>
        <w:numPr>
          <w:ilvl w:val="1"/>
          <w:numId w:val="8"/>
        </w:numPr>
      </w:pPr>
      <w:r w:rsidRPr="007754D0">
        <w:t>c</w:t>
      </w:r>
      <w:r w:rsidR="00C550BF" w:rsidRPr="007754D0">
        <w:t xml:space="preserve">onsequence of a risk event   </w:t>
      </w:r>
    </w:p>
    <w:p w14:paraId="358E9EEA" w14:textId="1DB66F99" w:rsidR="00491ACE" w:rsidRDefault="00491ACE" w:rsidP="00904A18">
      <w:pPr>
        <w:pStyle w:val="ListParagraph"/>
        <w:numPr>
          <w:ilvl w:val="1"/>
          <w:numId w:val="8"/>
        </w:numPr>
      </w:pPr>
      <w:r>
        <w:t>mitigations</w:t>
      </w:r>
      <w:r w:rsidR="00223DC2">
        <w:t>, monitoring, maintenance</w:t>
      </w:r>
      <w:r w:rsidR="003144F9">
        <w:t xml:space="preserve"> activities require to mitigate risk events</w:t>
      </w:r>
      <w:r w:rsidR="00A2771A">
        <w:t>, and</w:t>
      </w:r>
    </w:p>
    <w:p w14:paraId="7804A150" w14:textId="07FD8705" w:rsidR="00A2771A" w:rsidRDefault="00A2771A" w:rsidP="00904A18">
      <w:pPr>
        <w:pStyle w:val="ListParagraph"/>
        <w:numPr>
          <w:ilvl w:val="1"/>
          <w:numId w:val="8"/>
        </w:numPr>
      </w:pPr>
      <w:r>
        <w:t>co</w:t>
      </w:r>
      <w:r w:rsidR="004876EA">
        <w:t xml:space="preserve">nfidence in </w:t>
      </w:r>
      <w:r w:rsidR="00E46FAC">
        <w:t xml:space="preserve">understanding the risk and effectiveness of risk controls. </w:t>
      </w:r>
    </w:p>
    <w:p w14:paraId="3E0E9D48" w14:textId="33851C51" w:rsidR="00C76296" w:rsidRDefault="00875D59" w:rsidP="00904A18">
      <w:pPr>
        <w:pStyle w:val="ListParagraph"/>
        <w:numPr>
          <w:ilvl w:val="0"/>
          <w:numId w:val="8"/>
        </w:numPr>
      </w:pPr>
      <w:r>
        <w:t>i</w:t>
      </w:r>
      <w:r w:rsidR="00DC3F9F">
        <w:t xml:space="preserve">nclude detailed </w:t>
      </w:r>
      <w:r w:rsidR="00CF7FF3">
        <w:t>risk assessment</w:t>
      </w:r>
      <w:r w:rsidR="00C76296">
        <w:t xml:space="preserve"> to assess the potential failure</w:t>
      </w:r>
      <w:r w:rsidR="00933092">
        <w:t xml:space="preserve"> mechanisms</w:t>
      </w:r>
      <w:r w:rsidR="00C76296">
        <w:t xml:space="preserve"> o</w:t>
      </w:r>
      <w:r w:rsidR="00933092">
        <w:t xml:space="preserve">f the rehabilitated landform, </w:t>
      </w:r>
      <w:r w:rsidR="003144F9">
        <w:t>and</w:t>
      </w:r>
    </w:p>
    <w:p w14:paraId="3BA59599" w14:textId="7AEE1599" w:rsidR="003D7FE8" w:rsidRDefault="00875D59" w:rsidP="00904A18">
      <w:pPr>
        <w:pStyle w:val="ListParagraph"/>
        <w:numPr>
          <w:ilvl w:val="0"/>
          <w:numId w:val="8"/>
        </w:numPr>
      </w:pPr>
      <w:r>
        <w:t>c</w:t>
      </w:r>
      <w:r w:rsidR="0022637B">
        <w:t>onsider the long-term impacts of climate chan</w:t>
      </w:r>
      <w:r w:rsidR="00955854">
        <w:t xml:space="preserve">ge and </w:t>
      </w:r>
      <w:r w:rsidR="0037016A">
        <w:t xml:space="preserve">other hazards/ sources that </w:t>
      </w:r>
      <w:r w:rsidR="00191E02">
        <w:t xml:space="preserve">are likely to impact the </w:t>
      </w:r>
      <w:r w:rsidR="00955854">
        <w:t>resilience of the landform design</w:t>
      </w:r>
      <w:r w:rsidR="003144F9">
        <w:t>.</w:t>
      </w:r>
      <w:r w:rsidR="00955854">
        <w:t xml:space="preserve"> </w:t>
      </w:r>
    </w:p>
    <w:p w14:paraId="6286A6CB" w14:textId="7E483687" w:rsidR="00E44641" w:rsidRDefault="00E44641" w:rsidP="00955854">
      <w:pPr>
        <w:rPr>
          <w:rFonts w:cs="Arial"/>
        </w:rPr>
      </w:pPr>
      <w:r w:rsidRPr="2D1735F5">
        <w:rPr>
          <w:rFonts w:cs="Arial"/>
        </w:rPr>
        <w:t>Understanding t</w:t>
      </w:r>
      <w:r w:rsidR="00955854" w:rsidRPr="2D1735F5">
        <w:rPr>
          <w:rFonts w:cs="Arial"/>
        </w:rPr>
        <w:t xml:space="preserve">he residual risk profile (i.e., risks remaining after the surrender of the mining </w:t>
      </w:r>
      <w:r w:rsidR="00E37966" w:rsidRPr="2D1735F5">
        <w:rPr>
          <w:rFonts w:cs="Arial"/>
        </w:rPr>
        <w:t>licen</w:t>
      </w:r>
      <w:r w:rsidR="00E37966">
        <w:rPr>
          <w:rFonts w:cs="Arial"/>
        </w:rPr>
        <w:t>c</w:t>
      </w:r>
      <w:r w:rsidR="00E37966" w:rsidRPr="2D1735F5">
        <w:rPr>
          <w:rFonts w:cs="Arial"/>
        </w:rPr>
        <w:t>e</w:t>
      </w:r>
      <w:r w:rsidR="00955854" w:rsidRPr="2D1735F5">
        <w:rPr>
          <w:rFonts w:cs="Arial"/>
        </w:rPr>
        <w:t>) is key to develop</w:t>
      </w:r>
      <w:r w:rsidR="30251FFD" w:rsidRPr="2D1735F5">
        <w:rPr>
          <w:rFonts w:cs="Arial"/>
        </w:rPr>
        <w:t>ing</w:t>
      </w:r>
      <w:r w:rsidR="00955854" w:rsidRPr="2D1735F5">
        <w:rPr>
          <w:rFonts w:cs="Arial"/>
        </w:rPr>
        <w:t xml:space="preserve"> robust </w:t>
      </w:r>
      <w:r w:rsidR="0005369C" w:rsidRPr="2D1735F5">
        <w:rPr>
          <w:rFonts w:cs="Arial"/>
        </w:rPr>
        <w:t>final landform designs that support end land uses</w:t>
      </w:r>
      <w:r w:rsidR="10620C6F" w:rsidRPr="2D1735F5">
        <w:rPr>
          <w:rFonts w:cs="Arial"/>
        </w:rPr>
        <w:t>, underpin the</w:t>
      </w:r>
      <w:r w:rsidR="00875D59">
        <w:rPr>
          <w:rFonts w:cs="Arial"/>
        </w:rPr>
        <w:t xml:space="preserve"> </w:t>
      </w:r>
      <w:r w:rsidR="00763F7A">
        <w:rPr>
          <w:rFonts w:cs="Arial"/>
        </w:rPr>
        <w:t xml:space="preserve">content and </w:t>
      </w:r>
      <w:r w:rsidR="00A021C1">
        <w:rPr>
          <w:rFonts w:cs="Arial"/>
        </w:rPr>
        <w:t xml:space="preserve">structure of the </w:t>
      </w:r>
      <w:r w:rsidR="006148B5">
        <w:rPr>
          <w:rFonts w:cs="Arial"/>
        </w:rPr>
        <w:t>post closure</w:t>
      </w:r>
      <w:r w:rsidR="00955854" w:rsidRPr="2D1735F5">
        <w:rPr>
          <w:rFonts w:cs="Arial"/>
        </w:rPr>
        <w:t xml:space="preserve"> plan and to enable the successful relinquishment of a mining </w:t>
      </w:r>
      <w:r w:rsidR="00E37966" w:rsidRPr="2D1735F5">
        <w:rPr>
          <w:rFonts w:cs="Arial"/>
        </w:rPr>
        <w:t>licen</w:t>
      </w:r>
      <w:r w:rsidR="00E37966">
        <w:rPr>
          <w:rFonts w:cs="Arial"/>
        </w:rPr>
        <w:t>c</w:t>
      </w:r>
      <w:r w:rsidR="00E37966" w:rsidRPr="2D1735F5">
        <w:rPr>
          <w:rFonts w:cs="Arial"/>
        </w:rPr>
        <w:t>e</w:t>
      </w:r>
      <w:r w:rsidRPr="2D1735F5">
        <w:rPr>
          <w:rFonts w:cs="Arial"/>
        </w:rPr>
        <w:t xml:space="preserve">. The outcomes from the risk assessment </w:t>
      </w:r>
      <w:r w:rsidR="00A021C1">
        <w:rPr>
          <w:rFonts w:cs="Arial"/>
        </w:rPr>
        <w:t xml:space="preserve">feed into the post closure plan where </w:t>
      </w:r>
      <w:r w:rsidR="00136924">
        <w:rPr>
          <w:rFonts w:cs="Arial"/>
        </w:rPr>
        <w:t xml:space="preserve">it </w:t>
      </w:r>
      <w:r w:rsidRPr="2D1735F5">
        <w:rPr>
          <w:rFonts w:cs="Arial"/>
        </w:rPr>
        <w:t>should be used to:</w:t>
      </w:r>
    </w:p>
    <w:p w14:paraId="0AD088FE" w14:textId="5659EA25" w:rsidR="00E44641" w:rsidRDefault="00875D59" w:rsidP="00904A18">
      <w:pPr>
        <w:pStyle w:val="ListParagraph"/>
        <w:numPr>
          <w:ilvl w:val="0"/>
          <w:numId w:val="11"/>
        </w:numPr>
        <w:rPr>
          <w:rFonts w:cs="Arial"/>
        </w:rPr>
      </w:pPr>
      <w:r>
        <w:rPr>
          <w:rFonts w:cs="Arial"/>
        </w:rPr>
        <w:t>i</w:t>
      </w:r>
      <w:r w:rsidR="00E44641" w:rsidRPr="2D1735F5">
        <w:rPr>
          <w:rFonts w:cs="Arial"/>
        </w:rPr>
        <w:t>dentify ongoing monitoring and maintenance requirements of the landform, post</w:t>
      </w:r>
      <w:r w:rsidR="3DB88AC4" w:rsidRPr="2D1735F5">
        <w:rPr>
          <w:rFonts w:cs="Arial"/>
        </w:rPr>
        <w:t>-</w:t>
      </w:r>
      <w:r w:rsidR="00E37966" w:rsidRPr="2D1735F5">
        <w:rPr>
          <w:rFonts w:cs="Arial"/>
        </w:rPr>
        <w:t>licen</w:t>
      </w:r>
      <w:r w:rsidR="00E37966">
        <w:rPr>
          <w:rFonts w:cs="Arial"/>
        </w:rPr>
        <w:t>c</w:t>
      </w:r>
      <w:r w:rsidR="00E37966" w:rsidRPr="2D1735F5">
        <w:rPr>
          <w:rFonts w:cs="Arial"/>
        </w:rPr>
        <w:t xml:space="preserve">e </w:t>
      </w:r>
      <w:r w:rsidR="00E44641" w:rsidRPr="2D1735F5">
        <w:rPr>
          <w:rFonts w:cs="Arial"/>
        </w:rPr>
        <w:t xml:space="preserve">surrender </w:t>
      </w:r>
    </w:p>
    <w:p w14:paraId="028B923D" w14:textId="17AE9368" w:rsidR="00E44641" w:rsidRDefault="00875D59" w:rsidP="00904A18">
      <w:pPr>
        <w:pStyle w:val="ListParagraph"/>
        <w:numPr>
          <w:ilvl w:val="0"/>
          <w:numId w:val="11"/>
        </w:numPr>
        <w:rPr>
          <w:rFonts w:cs="Arial"/>
        </w:rPr>
      </w:pPr>
      <w:r>
        <w:rPr>
          <w:rFonts w:cs="Arial"/>
        </w:rPr>
        <w:t>i</w:t>
      </w:r>
      <w:r w:rsidR="00E44641">
        <w:rPr>
          <w:rFonts w:cs="Arial"/>
        </w:rPr>
        <w:t>den</w:t>
      </w:r>
      <w:r w:rsidR="002F2800">
        <w:rPr>
          <w:rFonts w:cs="Arial"/>
        </w:rPr>
        <w:t xml:space="preserve">tify triggers for rectification and further rehabilitation of the land </w:t>
      </w:r>
    </w:p>
    <w:p w14:paraId="2B231125" w14:textId="45BE7D55" w:rsidR="005C3438" w:rsidRDefault="00941287" w:rsidP="00904A18">
      <w:pPr>
        <w:pStyle w:val="ListParagraph"/>
        <w:numPr>
          <w:ilvl w:val="0"/>
          <w:numId w:val="11"/>
        </w:numPr>
        <w:rPr>
          <w:rFonts w:cs="Arial"/>
        </w:rPr>
      </w:pPr>
      <w:r>
        <w:rPr>
          <w:rFonts w:cs="Arial"/>
        </w:rPr>
        <w:t>p</w:t>
      </w:r>
      <w:r w:rsidR="002F2800" w:rsidRPr="2D1735F5">
        <w:rPr>
          <w:rFonts w:cs="Arial"/>
        </w:rPr>
        <w:t xml:space="preserve">rovide transparent and robust documentation </w:t>
      </w:r>
      <w:r w:rsidR="032D3CB7" w:rsidRPr="2D1735F5">
        <w:rPr>
          <w:rFonts w:cs="Arial"/>
        </w:rPr>
        <w:t xml:space="preserve">to help </w:t>
      </w:r>
      <w:r w:rsidR="002F2800" w:rsidRPr="2D1735F5">
        <w:rPr>
          <w:rFonts w:cs="Arial"/>
        </w:rPr>
        <w:t xml:space="preserve">stakeholders understand potential residual risks and liabilities </w:t>
      </w:r>
    </w:p>
    <w:p w14:paraId="027D4785" w14:textId="77777777" w:rsidR="00F141B7" w:rsidRDefault="00941287" w:rsidP="00904A18">
      <w:pPr>
        <w:pStyle w:val="ListParagraph"/>
        <w:numPr>
          <w:ilvl w:val="0"/>
          <w:numId w:val="11"/>
        </w:numPr>
        <w:rPr>
          <w:rFonts w:cs="Arial"/>
        </w:rPr>
      </w:pPr>
      <w:r>
        <w:rPr>
          <w:rFonts w:cs="Arial"/>
        </w:rPr>
        <w:t>e</w:t>
      </w:r>
      <w:r w:rsidR="005C3438" w:rsidRPr="2D1735F5">
        <w:rPr>
          <w:rFonts w:cs="Arial"/>
        </w:rPr>
        <w:t>nsure th</w:t>
      </w:r>
      <w:r w:rsidR="07FCBB0B" w:rsidRPr="2D1735F5">
        <w:rPr>
          <w:rFonts w:cs="Arial"/>
        </w:rPr>
        <w:t>at</w:t>
      </w:r>
      <w:r w:rsidR="005C3438" w:rsidRPr="2D1735F5">
        <w:rPr>
          <w:rFonts w:cs="Arial"/>
        </w:rPr>
        <w:t xml:space="preserve"> landform design</w:t>
      </w:r>
      <w:r w:rsidR="4151799C" w:rsidRPr="2D1735F5">
        <w:rPr>
          <w:rFonts w:cs="Arial"/>
        </w:rPr>
        <w:t>s</w:t>
      </w:r>
      <w:r w:rsidR="005C3438" w:rsidRPr="2D1735F5">
        <w:rPr>
          <w:rFonts w:cs="Arial"/>
        </w:rPr>
        <w:t xml:space="preserve"> </w:t>
      </w:r>
      <w:r w:rsidR="00585734" w:rsidRPr="2D1735F5">
        <w:rPr>
          <w:rFonts w:cs="Arial"/>
        </w:rPr>
        <w:t>developed</w:t>
      </w:r>
      <w:r w:rsidR="005C3438" w:rsidRPr="2D1735F5">
        <w:rPr>
          <w:rFonts w:cs="Arial"/>
        </w:rPr>
        <w:t xml:space="preserve"> during the </w:t>
      </w:r>
      <w:r w:rsidR="005A73FA" w:rsidRPr="2D1735F5">
        <w:rPr>
          <w:rFonts w:cs="Arial"/>
        </w:rPr>
        <w:t xml:space="preserve">rehabilitation </w:t>
      </w:r>
      <w:r w:rsidR="06D7F238" w:rsidRPr="2D1735F5">
        <w:rPr>
          <w:rFonts w:cs="Arial"/>
        </w:rPr>
        <w:t xml:space="preserve">and </w:t>
      </w:r>
      <w:r w:rsidR="005A73FA" w:rsidRPr="2D1735F5">
        <w:rPr>
          <w:rFonts w:cs="Arial"/>
        </w:rPr>
        <w:t>closure planning phase incorporate</w:t>
      </w:r>
      <w:r w:rsidR="0E3D27F9" w:rsidRPr="2D1735F5">
        <w:rPr>
          <w:rFonts w:cs="Arial"/>
        </w:rPr>
        <w:t xml:space="preserve"> the</w:t>
      </w:r>
      <w:r w:rsidR="005A73FA" w:rsidRPr="2D1735F5">
        <w:rPr>
          <w:rFonts w:cs="Arial"/>
        </w:rPr>
        <w:t xml:space="preserve"> key mitigation measures required by the proposed end land uses.</w:t>
      </w:r>
    </w:p>
    <w:p w14:paraId="2A78EE83" w14:textId="5CA5E0D2" w:rsidR="007762C1" w:rsidRDefault="00ED2A3E" w:rsidP="00904A18">
      <w:pPr>
        <w:pStyle w:val="ListParagraph"/>
        <w:numPr>
          <w:ilvl w:val="0"/>
          <w:numId w:val="11"/>
        </w:numPr>
        <w:rPr>
          <w:rFonts w:cs="Arial"/>
        </w:rPr>
      </w:pPr>
      <w:r>
        <w:rPr>
          <w:rFonts w:cs="Arial"/>
        </w:rPr>
        <w:t xml:space="preserve">Identify </w:t>
      </w:r>
      <w:r w:rsidR="00F141B7" w:rsidRPr="00F141B7">
        <w:rPr>
          <w:rFonts w:cs="Arial"/>
        </w:rPr>
        <w:t>who is responsible for the</w:t>
      </w:r>
      <w:r>
        <w:rPr>
          <w:rFonts w:cs="Arial"/>
        </w:rPr>
        <w:t xml:space="preserve"> </w:t>
      </w:r>
      <w:r w:rsidR="006148B5">
        <w:rPr>
          <w:rFonts w:cs="Arial"/>
        </w:rPr>
        <w:t>post closure</w:t>
      </w:r>
      <w:r w:rsidR="00F141B7" w:rsidRPr="00F141B7">
        <w:rPr>
          <w:rFonts w:cs="Arial"/>
        </w:rPr>
        <w:t xml:space="preserve"> activities, their timing, and the value of the future costs associated with the</w:t>
      </w:r>
      <w:r>
        <w:rPr>
          <w:rFonts w:cs="Arial"/>
        </w:rPr>
        <w:t>m</w:t>
      </w:r>
      <w:r w:rsidR="008055CE">
        <w:rPr>
          <w:rFonts w:cs="Arial"/>
        </w:rPr>
        <w:t>.</w:t>
      </w:r>
    </w:p>
    <w:p w14:paraId="649418A6" w14:textId="74849884" w:rsidR="00CF792A" w:rsidRDefault="00CF792A" w:rsidP="007762C1">
      <w:pPr>
        <w:rPr>
          <w:rFonts w:cs="Arial"/>
        </w:rPr>
      </w:pPr>
      <w:r>
        <w:rPr>
          <w:rFonts w:cs="Arial"/>
        </w:rPr>
        <w:br w:type="page"/>
      </w:r>
    </w:p>
    <w:p w14:paraId="201C075D" w14:textId="4337FBA4" w:rsidR="007762C1" w:rsidRDefault="007762C1" w:rsidP="007762C1">
      <w:pPr>
        <w:pStyle w:val="Heading1"/>
      </w:pPr>
      <w:bookmarkStart w:id="83" w:name="_Toc215653671"/>
      <w:bookmarkStart w:id="84" w:name="_Toc220407030"/>
      <w:r>
        <w:lastRenderedPageBreak/>
        <w:t>References</w:t>
      </w:r>
      <w:bookmarkEnd w:id="83"/>
      <w:bookmarkEnd w:id="84"/>
    </w:p>
    <w:p w14:paraId="03236C96" w14:textId="277A06FC" w:rsidR="0008646D" w:rsidRPr="0008646D" w:rsidRDefault="0008646D" w:rsidP="00C62E39">
      <w:pPr>
        <w:rPr>
          <w:szCs w:val="20"/>
        </w:rPr>
      </w:pPr>
      <w:r w:rsidRPr="00946088">
        <w:rPr>
          <w:szCs w:val="20"/>
        </w:rPr>
        <w:t xml:space="preserve">A. Robertson &amp; S. Shaw (n.d.), </w:t>
      </w:r>
      <w:proofErr w:type="spellStart"/>
      <w:r w:rsidRPr="00946088">
        <w:rPr>
          <w:i/>
          <w:iCs/>
          <w:szCs w:val="20"/>
        </w:rPr>
        <w:t>Infomine</w:t>
      </w:r>
      <w:proofErr w:type="spellEnd"/>
      <w:r w:rsidRPr="00946088">
        <w:rPr>
          <w:i/>
          <w:iCs/>
          <w:szCs w:val="20"/>
        </w:rPr>
        <w:t xml:space="preserve"> E-Book:</w:t>
      </w:r>
      <w:r w:rsidRPr="00946088">
        <w:rPr>
          <w:i/>
          <w:szCs w:val="20"/>
        </w:rPr>
        <w:t xml:space="preserve"> Mine Closure</w:t>
      </w:r>
    </w:p>
    <w:p w14:paraId="58B65167" w14:textId="0CBED85E" w:rsidR="0008646D" w:rsidRDefault="0008646D" w:rsidP="00C62E39">
      <w:pPr>
        <w:rPr>
          <w:i/>
          <w:iCs/>
          <w:szCs w:val="20"/>
        </w:rPr>
      </w:pPr>
      <w:r w:rsidRPr="00946088">
        <w:rPr>
          <w:szCs w:val="20"/>
        </w:rPr>
        <w:t xml:space="preserve">Australian Government Department of Finance (2016) </w:t>
      </w:r>
      <w:r w:rsidRPr="00946088">
        <w:rPr>
          <w:i/>
          <w:iCs/>
          <w:szCs w:val="20"/>
        </w:rPr>
        <w:t>An Overview of the Risk Management Process</w:t>
      </w:r>
      <w:r w:rsidRPr="00946088">
        <w:rPr>
          <w:szCs w:val="20"/>
        </w:rPr>
        <w:t xml:space="preserve">. </w:t>
      </w:r>
      <w:hyperlink r:id="rId24" w:history="1">
        <w:r w:rsidRPr="00946088">
          <w:rPr>
            <w:rStyle w:val="Hyperlink"/>
            <w:szCs w:val="20"/>
          </w:rPr>
          <w:t>https://www.finance.gov.au/sites/default/files/2019-11/Risk-Management-Process.pdf</w:t>
        </w:r>
      </w:hyperlink>
      <w:r w:rsidRPr="00946088">
        <w:rPr>
          <w:szCs w:val="20"/>
        </w:rPr>
        <w:t xml:space="preserve"> </w:t>
      </w:r>
      <w:r w:rsidRPr="00946088">
        <w:rPr>
          <w:i/>
          <w:iCs/>
          <w:szCs w:val="20"/>
        </w:rPr>
        <w:t xml:space="preserve"> </w:t>
      </w:r>
    </w:p>
    <w:p w14:paraId="0337E7A6" w14:textId="00300455" w:rsidR="0008646D" w:rsidRPr="0008646D" w:rsidRDefault="0008646D" w:rsidP="00C62E39">
      <w:pPr>
        <w:rPr>
          <w:i/>
          <w:iCs/>
          <w:szCs w:val="20"/>
        </w:rPr>
      </w:pPr>
      <w:r w:rsidRPr="00946088">
        <w:rPr>
          <w:szCs w:val="20"/>
        </w:rPr>
        <w:t xml:space="preserve">Australian Government Department of Finance (2023) </w:t>
      </w:r>
      <w:r w:rsidRPr="00946088">
        <w:rPr>
          <w:i/>
          <w:iCs/>
          <w:szCs w:val="20"/>
        </w:rPr>
        <w:t>Element 7: Emerging Risks</w:t>
      </w:r>
      <w:r w:rsidRPr="00946088">
        <w:rPr>
          <w:szCs w:val="20"/>
        </w:rPr>
        <w:t xml:space="preserve">. </w:t>
      </w:r>
      <w:hyperlink r:id="rId25" w:history="1">
        <w:r w:rsidRPr="00946088">
          <w:rPr>
            <w:rStyle w:val="Hyperlink"/>
            <w:szCs w:val="20"/>
          </w:rPr>
          <w:t>https://www.finance.gov.au/government/comcover/risk-services/management/risk-management-toolkit/element-7-emerging-risks</w:t>
        </w:r>
      </w:hyperlink>
    </w:p>
    <w:p w14:paraId="2EB959F0" w14:textId="4CDEDCE8" w:rsidR="00BB0DE5" w:rsidRDefault="001E722F" w:rsidP="00C62E39">
      <w:pPr>
        <w:rPr>
          <w:szCs w:val="20"/>
        </w:rPr>
      </w:pPr>
      <w:r>
        <w:rPr>
          <w:szCs w:val="20"/>
        </w:rPr>
        <w:t>Australian &amp; New</w:t>
      </w:r>
      <w:r w:rsidR="00BB0DE5">
        <w:rPr>
          <w:szCs w:val="20"/>
        </w:rPr>
        <w:t xml:space="preserve"> Zealand Guidelines for Fresh &amp; Marine Water Quality, </w:t>
      </w:r>
      <w:hyperlink r:id="rId26" w:history="1">
        <w:r w:rsidR="00BB0DE5" w:rsidRPr="00BB0DE5">
          <w:rPr>
            <w:color w:val="0000FF"/>
            <w:u w:val="single"/>
          </w:rPr>
          <w:t>Conceptual models</w:t>
        </w:r>
      </w:hyperlink>
    </w:p>
    <w:p w14:paraId="19B119CC" w14:textId="14EAD0EB" w:rsidR="0008646D" w:rsidRPr="0008646D" w:rsidRDefault="0008646D" w:rsidP="00C62E39">
      <w:pPr>
        <w:rPr>
          <w:szCs w:val="20"/>
        </w:rPr>
      </w:pPr>
      <w:r w:rsidRPr="00946088">
        <w:rPr>
          <w:szCs w:val="20"/>
        </w:rPr>
        <w:t>Commissioner for Resources Safety &amp; Health (2023)</w:t>
      </w:r>
      <w:r w:rsidRPr="00946088">
        <w:rPr>
          <w:i/>
          <w:iCs/>
          <w:szCs w:val="20"/>
        </w:rPr>
        <w:t xml:space="preserve"> Risk assessment education resource, Mining Safety and Health Advisory Committee </w:t>
      </w:r>
      <w:hyperlink r:id="rId27" w:history="1">
        <w:r w:rsidRPr="00946088">
          <w:rPr>
            <w:rStyle w:val="Hyperlink"/>
            <w:szCs w:val="20"/>
          </w:rPr>
          <w:t>https://www.publications.qld.gov.au/ckan-publications-attachments-prod/resources/f7f107ce-52d4-427e-837b-5a81984bbb40/20232003-risk-assessment-educational-resource.pdf?ETag=d353c0ea3e90ed671fee9803b4d9ae91</w:t>
        </w:r>
      </w:hyperlink>
    </w:p>
    <w:p w14:paraId="26007496" w14:textId="122192C8" w:rsidR="00C62E39" w:rsidRPr="00C62E39" w:rsidRDefault="00C62E39" w:rsidP="00C62E39">
      <w:pPr>
        <w:rPr>
          <w:i/>
          <w:iCs/>
          <w:szCs w:val="20"/>
        </w:rPr>
      </w:pPr>
      <w:r w:rsidRPr="00C62E39">
        <w:rPr>
          <w:szCs w:val="20"/>
        </w:rPr>
        <w:t xml:space="preserve">CSIRO (2025) </w:t>
      </w:r>
      <w:r w:rsidRPr="00C62E39">
        <w:rPr>
          <w:i/>
          <w:iCs/>
          <w:szCs w:val="20"/>
        </w:rPr>
        <w:t xml:space="preserve">Guidelines to Open Pit and Waste Dump Closure, </w:t>
      </w:r>
      <w:hyperlink r:id="rId28" w:history="1">
        <w:r w:rsidRPr="00C62E39">
          <w:rPr>
            <w:rStyle w:val="Hyperlink"/>
            <w:szCs w:val="20"/>
          </w:rPr>
          <w:t>Guidelines for Open Pit and Waste Dump Closure | CSIRO Publishing</w:t>
        </w:r>
      </w:hyperlink>
    </w:p>
    <w:p w14:paraId="04040CB6" w14:textId="04150261" w:rsidR="007762C1" w:rsidRPr="007762C1" w:rsidRDefault="007762C1" w:rsidP="007762C1">
      <w:pPr>
        <w:rPr>
          <w:szCs w:val="20"/>
        </w:rPr>
      </w:pPr>
      <w:r w:rsidRPr="007762C1">
        <w:rPr>
          <w:szCs w:val="20"/>
        </w:rPr>
        <w:t xml:space="preserve">DEECA (2025) </w:t>
      </w:r>
      <w:r w:rsidRPr="007762C1">
        <w:rPr>
          <w:i/>
          <w:iCs/>
          <w:szCs w:val="20"/>
        </w:rPr>
        <w:t>Ministerial Guidelines for preparation of Declared Mine Rehabilitation Plans</w:t>
      </w:r>
      <w:r w:rsidRPr="007762C1">
        <w:rPr>
          <w:szCs w:val="20"/>
        </w:rPr>
        <w:t xml:space="preserve"> </w:t>
      </w:r>
    </w:p>
    <w:p w14:paraId="3F463F09" w14:textId="41E9CBE7" w:rsidR="0008646D" w:rsidRPr="0008646D" w:rsidRDefault="0008646D" w:rsidP="007762C1">
      <w:pPr>
        <w:rPr>
          <w:szCs w:val="20"/>
        </w:rPr>
      </w:pPr>
      <w:r w:rsidRPr="00946088">
        <w:rPr>
          <w:szCs w:val="20"/>
        </w:rPr>
        <w:t xml:space="preserve">DJPR (2020) </w:t>
      </w:r>
      <w:r w:rsidRPr="00946088">
        <w:rPr>
          <w:i/>
          <w:iCs/>
          <w:szCs w:val="20"/>
        </w:rPr>
        <w:t>Preparation of Work Plans and Work Plan Variations (version 1.3)</w:t>
      </w:r>
      <w:r w:rsidRPr="00946088">
        <w:rPr>
          <w:szCs w:val="20"/>
        </w:rPr>
        <w:t xml:space="preserve">, </w:t>
      </w:r>
      <w:hyperlink r:id="rId29" w:history="1">
        <w:r w:rsidRPr="00946088">
          <w:rPr>
            <w:rStyle w:val="Hyperlink"/>
            <w:szCs w:val="20"/>
          </w:rPr>
          <w:t>https://resources.vic.gov.au/legislation-and-regulations/guidelines-and-codes-of-practice/work-plan-guidelines-for-mining-licences/Preparation-of-work-plans-and-work-plan-variations-mining-projects.pdf</w:t>
        </w:r>
      </w:hyperlink>
    </w:p>
    <w:p w14:paraId="4F828024" w14:textId="58B7F42E" w:rsidR="007762C1" w:rsidRDefault="007762C1" w:rsidP="007762C1">
      <w:pPr>
        <w:rPr>
          <w:szCs w:val="20"/>
        </w:rPr>
      </w:pPr>
      <w:r w:rsidRPr="007762C1">
        <w:rPr>
          <w:szCs w:val="20"/>
        </w:rPr>
        <w:t xml:space="preserve">DJPR (2022) </w:t>
      </w:r>
      <w:r w:rsidRPr="007762C1">
        <w:rPr>
          <w:i/>
          <w:iCs/>
          <w:szCs w:val="20"/>
        </w:rPr>
        <w:t>Regulatory Impact Statement — Mineral Resources (Sustainable Development) (Mineral Industries) Regulations 2022</w:t>
      </w:r>
      <w:r w:rsidRPr="007762C1">
        <w:rPr>
          <w:szCs w:val="20"/>
        </w:rPr>
        <w:t xml:space="preserve">, </w:t>
      </w:r>
      <w:hyperlink r:id="rId30" w:history="1">
        <w:r w:rsidR="002D70C7" w:rsidRPr="00946088">
          <w:rPr>
            <w:rStyle w:val="Hyperlink"/>
            <w:rFonts w:cs="Arial"/>
            <w:szCs w:val="20"/>
          </w:rPr>
          <w:t>https://earthresources.vic.gov.au/__data/assets/pdf_file/0004/895693/Regulatory-Impact-Statement-Proposed-Mineral-Resources-Sustainable-Development-Mineral-Industries-Amendment-Regulations-2022.pdf</w:t>
        </w:r>
      </w:hyperlink>
      <w:r w:rsidR="002D70C7" w:rsidRPr="00946088">
        <w:rPr>
          <w:rFonts w:cs="Arial"/>
          <w:szCs w:val="20"/>
        </w:rPr>
        <w:t xml:space="preserve">  </w:t>
      </w:r>
    </w:p>
    <w:p w14:paraId="2908A96F" w14:textId="654DB349" w:rsidR="0008646D" w:rsidRPr="0008646D" w:rsidRDefault="0008646D" w:rsidP="00C62E39">
      <w:pPr>
        <w:rPr>
          <w:szCs w:val="20"/>
        </w:rPr>
      </w:pPr>
      <w:r w:rsidRPr="00946088">
        <w:rPr>
          <w:szCs w:val="20"/>
        </w:rPr>
        <w:t xml:space="preserve">EPA Victoria (2025) Consultation guideline: </w:t>
      </w:r>
      <w:r w:rsidRPr="00946088">
        <w:rPr>
          <w:i/>
          <w:iCs/>
          <w:szCs w:val="20"/>
        </w:rPr>
        <w:t xml:space="preserve">Preparing a risk management and monitoring program. </w:t>
      </w:r>
      <w:hyperlink r:id="rId31" w:history="1">
        <w:r w:rsidRPr="00946088">
          <w:rPr>
            <w:rStyle w:val="Hyperlink"/>
            <w:szCs w:val="20"/>
          </w:rPr>
          <w:t>https://engage.vic.gov.au/download/document/42474</w:t>
        </w:r>
      </w:hyperlink>
    </w:p>
    <w:p w14:paraId="541B0D47" w14:textId="4B3C5293" w:rsidR="00C62E39" w:rsidRDefault="00C62E39" w:rsidP="00C62E39">
      <w:r w:rsidRPr="00033B67">
        <w:t xml:space="preserve">Government of Victoria </w:t>
      </w:r>
      <w:r>
        <w:t>(</w:t>
      </w:r>
      <w:r w:rsidRPr="00033B67">
        <w:t>1990</w:t>
      </w:r>
      <w:r>
        <w:t>)</w:t>
      </w:r>
      <w:r w:rsidRPr="00033B67">
        <w:t xml:space="preserve"> </w:t>
      </w:r>
      <w:r w:rsidRPr="00C62E39">
        <w:rPr>
          <w:i/>
          <w:iCs/>
        </w:rPr>
        <w:t>Mineral Resources (Sustainable Development) Act 1990</w:t>
      </w:r>
      <w:r w:rsidRPr="00033B67">
        <w:t>, Australia</w:t>
      </w:r>
    </w:p>
    <w:p w14:paraId="67E54AD0" w14:textId="73055880" w:rsidR="00EA6F05" w:rsidRPr="00EA6F05" w:rsidRDefault="00EA6F05" w:rsidP="00C62E39">
      <w:pPr>
        <w:rPr>
          <w:szCs w:val="20"/>
        </w:rPr>
      </w:pPr>
      <w:r w:rsidRPr="00946088">
        <w:rPr>
          <w:szCs w:val="20"/>
        </w:rPr>
        <w:t xml:space="preserve">ICMM (2015) </w:t>
      </w:r>
      <w:r w:rsidRPr="00946088">
        <w:rPr>
          <w:i/>
          <w:iCs/>
          <w:szCs w:val="20"/>
        </w:rPr>
        <w:t>Health and Safety Critical Control Management: Good Practice Guide</w:t>
      </w:r>
      <w:r w:rsidRPr="00946088">
        <w:rPr>
          <w:szCs w:val="20"/>
        </w:rPr>
        <w:t xml:space="preserve">. </w:t>
      </w:r>
      <w:hyperlink r:id="rId32" w:history="1">
        <w:r w:rsidRPr="00946088">
          <w:rPr>
            <w:rStyle w:val="Hyperlink"/>
            <w:szCs w:val="20"/>
          </w:rPr>
          <w:t>https://www.icmm.com/en-gb/guidance/health-safety/2015/ccm-good-practice-guide</w:t>
        </w:r>
      </w:hyperlink>
    </w:p>
    <w:p w14:paraId="57CA38E6" w14:textId="22BD3CD5" w:rsidR="00C62E39" w:rsidRPr="00C62E39" w:rsidRDefault="00C62E39" w:rsidP="00C62E39">
      <w:pPr>
        <w:rPr>
          <w:szCs w:val="20"/>
        </w:rPr>
      </w:pPr>
      <w:r w:rsidRPr="00C62E39">
        <w:rPr>
          <w:szCs w:val="20"/>
        </w:rPr>
        <w:t xml:space="preserve">ICMM (2025) </w:t>
      </w:r>
      <w:r w:rsidRPr="00C62E39">
        <w:rPr>
          <w:i/>
          <w:iCs/>
          <w:szCs w:val="20"/>
        </w:rPr>
        <w:t>Integrated Mine Closure Good Practice Guide</w:t>
      </w:r>
      <w:r w:rsidRPr="00C62E39">
        <w:rPr>
          <w:szCs w:val="20"/>
        </w:rPr>
        <w:t xml:space="preserve">, </w:t>
      </w:r>
      <w:hyperlink r:id="rId33" w:history="1">
        <w:r w:rsidRPr="00C62E39">
          <w:rPr>
            <w:rStyle w:val="Hyperlink"/>
            <w:szCs w:val="20"/>
          </w:rPr>
          <w:t>ICMM - Integrated Mine Closure: Good Practice Guide</w:t>
        </w:r>
      </w:hyperlink>
    </w:p>
    <w:p w14:paraId="77AADBB5" w14:textId="5E6B8F0B" w:rsidR="00942F9D" w:rsidRDefault="00942F9D" w:rsidP="007762C1">
      <w:r>
        <w:t xml:space="preserve">IESC, </w:t>
      </w:r>
      <w:hyperlink r:id="rId34" w:history="1">
        <w:r w:rsidRPr="006F08A6">
          <w:rPr>
            <w:color w:val="0000FF"/>
            <w:u w:val="single"/>
          </w:rPr>
          <w:t>Summary guide – Using impact pathway diagrams based on ecohydrological conceptualisation in environmental impact assessment</w:t>
        </w:r>
      </w:hyperlink>
    </w:p>
    <w:p w14:paraId="5C7AD7CB" w14:textId="5231AED6" w:rsidR="007762C1" w:rsidRDefault="007762C1" w:rsidP="007762C1">
      <w:pPr>
        <w:rPr>
          <w:szCs w:val="20"/>
        </w:rPr>
      </w:pPr>
      <w:r w:rsidRPr="007762C1">
        <w:rPr>
          <w:szCs w:val="20"/>
        </w:rPr>
        <w:t xml:space="preserve">IGF (2023) </w:t>
      </w:r>
      <w:r w:rsidRPr="007762C1">
        <w:rPr>
          <w:i/>
          <w:iCs/>
          <w:szCs w:val="20"/>
        </w:rPr>
        <w:t>Relinquishment of Closed Mine Sites: Policy steps for governments</w:t>
      </w:r>
      <w:r w:rsidRPr="007762C1">
        <w:rPr>
          <w:szCs w:val="20"/>
        </w:rPr>
        <w:t xml:space="preserve">, </w:t>
      </w:r>
      <w:hyperlink r:id="rId35" w:history="1">
        <w:r w:rsidR="002D70C7" w:rsidRPr="00CA1B1D">
          <w:rPr>
            <w:rStyle w:val="Hyperlink"/>
            <w:szCs w:val="20"/>
          </w:rPr>
          <w:t>https://www.iisd.org/system/files/2023-09/relinquishment-closed-mines-policy-steps-for-governments-en.pdf</w:t>
        </w:r>
      </w:hyperlink>
      <w:r w:rsidR="002D70C7">
        <w:rPr>
          <w:szCs w:val="20"/>
        </w:rPr>
        <w:t xml:space="preserve"> </w:t>
      </w:r>
    </w:p>
    <w:p w14:paraId="6DEC7D48" w14:textId="2EC8378D" w:rsidR="00C62E39" w:rsidRPr="00B0478A" w:rsidRDefault="00C62E39" w:rsidP="00C62E39">
      <w:pPr>
        <w:rPr>
          <w:szCs w:val="20"/>
        </w:rPr>
      </w:pPr>
      <w:r>
        <w:t>Mine Land Rehabilitation Authority (202</w:t>
      </w:r>
      <w:r w:rsidR="00D717E2">
        <w:t>5</w:t>
      </w:r>
      <w:r>
        <w:t xml:space="preserve">) </w:t>
      </w:r>
      <w:r>
        <w:rPr>
          <w:i/>
          <w:iCs/>
        </w:rPr>
        <w:t>Vocabulary</w:t>
      </w:r>
      <w:r w:rsidR="00B0478A">
        <w:rPr>
          <w:i/>
          <w:iCs/>
        </w:rPr>
        <w:t xml:space="preserve"> </w:t>
      </w:r>
      <w:hyperlink r:id="rId36" w:history="1">
        <w:r w:rsidR="00B0478A" w:rsidRPr="0048539F">
          <w:rPr>
            <w:rStyle w:val="Hyperlink"/>
          </w:rPr>
          <w:t>https://www.mineland.vic.gov.au/learn/vocabulary/</w:t>
        </w:r>
      </w:hyperlink>
      <w:r w:rsidR="00B0478A">
        <w:t xml:space="preserve"> </w:t>
      </w:r>
    </w:p>
    <w:p w14:paraId="56D87C72" w14:textId="14698D27" w:rsidR="00C62E39" w:rsidRPr="00C62E39" w:rsidRDefault="00C62E39" w:rsidP="00C62E39">
      <w:pPr>
        <w:rPr>
          <w:szCs w:val="20"/>
        </w:rPr>
      </w:pPr>
      <w:r w:rsidRPr="00C62E39">
        <w:rPr>
          <w:szCs w:val="20"/>
        </w:rPr>
        <w:t xml:space="preserve">Queensland Government (2018) </w:t>
      </w:r>
      <w:r w:rsidRPr="00C62E39">
        <w:rPr>
          <w:i/>
          <w:iCs/>
          <w:szCs w:val="20"/>
        </w:rPr>
        <w:t xml:space="preserve">Managing residual risks in Queensland Discussion Paper. </w:t>
      </w:r>
      <w:hyperlink r:id="rId37" w:history="1">
        <w:r w:rsidR="0008646D" w:rsidRPr="00946088">
          <w:rPr>
            <w:rStyle w:val="Hyperlink"/>
            <w:szCs w:val="20"/>
          </w:rPr>
          <w:t>https://environment.desi.qld.gov.au/__data/assets/pdf_file/0036/88857/managing-residual-risks-discussion-paper.pdf</w:t>
        </w:r>
      </w:hyperlink>
      <w:r w:rsidR="0008646D" w:rsidRPr="00946088">
        <w:rPr>
          <w:szCs w:val="20"/>
        </w:rPr>
        <w:t xml:space="preserve"> </w:t>
      </w:r>
    </w:p>
    <w:p w14:paraId="005B7A6E" w14:textId="5C3434CE" w:rsidR="00C62E39" w:rsidRDefault="00C62E39" w:rsidP="00C62E39">
      <w:pPr>
        <w:rPr>
          <w:szCs w:val="20"/>
        </w:rPr>
      </w:pPr>
      <w:r w:rsidRPr="00C62E39">
        <w:rPr>
          <w:szCs w:val="20"/>
        </w:rPr>
        <w:t xml:space="preserve">Queensland Government (2024) </w:t>
      </w:r>
      <w:r w:rsidRPr="00C62E39">
        <w:rPr>
          <w:i/>
          <w:iCs/>
          <w:szCs w:val="20"/>
        </w:rPr>
        <w:t>Residual Risk Assessment Guideline – Interim</w:t>
      </w:r>
      <w:r w:rsidRPr="00C62E39">
        <w:rPr>
          <w:szCs w:val="20"/>
        </w:rPr>
        <w:t xml:space="preserve"> (ESR/2020/5433, Version 1.02) </w:t>
      </w:r>
      <w:hyperlink r:id="rId38" w:history="1">
        <w:r w:rsidRPr="00C62E39">
          <w:rPr>
            <w:rStyle w:val="Hyperlink"/>
            <w:szCs w:val="20"/>
          </w:rPr>
          <w:t>Residual Risk Assessment Guideline - Interim</w:t>
        </w:r>
      </w:hyperlink>
    </w:p>
    <w:p w14:paraId="6FB5641B" w14:textId="3534ADF1" w:rsidR="007762C1" w:rsidRDefault="007762C1" w:rsidP="007762C1">
      <w:pPr>
        <w:rPr>
          <w:szCs w:val="20"/>
        </w:rPr>
      </w:pPr>
      <w:r w:rsidRPr="007762C1">
        <w:rPr>
          <w:szCs w:val="20"/>
        </w:rPr>
        <w:lastRenderedPageBreak/>
        <w:t xml:space="preserve">Tiemann, C., MacDonald, V., Young, R. and Dixon, K. (2022), </w:t>
      </w:r>
      <w:r w:rsidRPr="007762C1">
        <w:rPr>
          <w:i/>
          <w:iCs/>
          <w:szCs w:val="20"/>
        </w:rPr>
        <w:t>Rehabilitation and mine closure policies creating a pathway to relinquishment: an Australian perspective</w:t>
      </w:r>
      <w:r w:rsidRPr="007762C1">
        <w:rPr>
          <w:szCs w:val="20"/>
        </w:rPr>
        <w:t xml:space="preserve">. </w:t>
      </w:r>
      <w:proofErr w:type="spellStart"/>
      <w:r w:rsidRPr="007762C1">
        <w:rPr>
          <w:szCs w:val="20"/>
        </w:rPr>
        <w:t>Restor</w:t>
      </w:r>
      <w:proofErr w:type="spellEnd"/>
      <w:r w:rsidRPr="007762C1">
        <w:rPr>
          <w:szCs w:val="20"/>
        </w:rPr>
        <w:t xml:space="preserve"> </w:t>
      </w:r>
      <w:proofErr w:type="spellStart"/>
      <w:r w:rsidRPr="007762C1">
        <w:rPr>
          <w:szCs w:val="20"/>
        </w:rPr>
        <w:t>Ecol</w:t>
      </w:r>
      <w:proofErr w:type="spellEnd"/>
      <w:r w:rsidRPr="007762C1">
        <w:rPr>
          <w:szCs w:val="20"/>
        </w:rPr>
        <w:t xml:space="preserve">, </w:t>
      </w:r>
      <w:proofErr w:type="gramStart"/>
      <w:r w:rsidRPr="007762C1">
        <w:rPr>
          <w:szCs w:val="20"/>
        </w:rPr>
        <w:t>30:e</w:t>
      </w:r>
      <w:proofErr w:type="gramEnd"/>
      <w:r w:rsidRPr="007762C1">
        <w:rPr>
          <w:szCs w:val="20"/>
        </w:rPr>
        <w:t>13785.</w:t>
      </w:r>
      <w:hyperlink r:id="rId39" w:history="1">
        <w:r w:rsidRPr="007762C1">
          <w:rPr>
            <w:rStyle w:val="Hyperlink"/>
            <w:szCs w:val="20"/>
          </w:rPr>
          <w:t>https://doi.org/10.1111/rec.13785</w:t>
        </w:r>
      </w:hyperlink>
    </w:p>
    <w:p w14:paraId="37608443" w14:textId="77777777" w:rsidR="00730D60" w:rsidRDefault="00730D60" w:rsidP="007762C1"/>
    <w:p w14:paraId="5BE50BA4" w14:textId="77777777" w:rsidR="00730D60" w:rsidRDefault="00730D60" w:rsidP="007762C1">
      <w:pPr>
        <w:rPr>
          <w:szCs w:val="20"/>
        </w:rPr>
        <w:sectPr w:rsidR="00730D60" w:rsidSect="00D41FB7">
          <w:pgSz w:w="11906" w:h="16838"/>
          <w:pgMar w:top="1440" w:right="1440" w:bottom="1440" w:left="1440" w:header="708" w:footer="708" w:gutter="0"/>
          <w:pgNumType w:start="1"/>
          <w:cols w:space="708"/>
          <w:docGrid w:linePitch="360"/>
        </w:sectPr>
      </w:pPr>
    </w:p>
    <w:p w14:paraId="6C005CDC" w14:textId="1C057688" w:rsidR="00730D60" w:rsidRDefault="001E4FA3" w:rsidP="001E4FA3">
      <w:pPr>
        <w:pStyle w:val="Heading1"/>
        <w:numPr>
          <w:ilvl w:val="0"/>
          <w:numId w:val="0"/>
        </w:numPr>
        <w:ind w:left="432" w:hanging="432"/>
      </w:pPr>
      <w:bookmarkStart w:id="85" w:name="_Ref209172094"/>
      <w:bookmarkStart w:id="86" w:name="_Ref209435884"/>
      <w:bookmarkStart w:id="87" w:name="_Toc215653672"/>
      <w:bookmarkStart w:id="88" w:name="_Toc220407031"/>
      <w:r>
        <w:lastRenderedPageBreak/>
        <w:t xml:space="preserve">Appendix </w:t>
      </w:r>
      <w:r w:rsidR="00691DA6">
        <w:t>A: Example Risk Register</w:t>
      </w:r>
      <w:bookmarkEnd w:id="85"/>
      <w:bookmarkEnd w:id="86"/>
      <w:bookmarkEnd w:id="87"/>
      <w:bookmarkEnd w:id="88"/>
    </w:p>
    <w:p w14:paraId="0436F233" w14:textId="77777777" w:rsidR="00A671FE" w:rsidRDefault="00A671FE" w:rsidP="001E4FA3"/>
    <w:p w14:paraId="6F0894D6" w14:textId="4B2159C0" w:rsidR="00253F4B" w:rsidRDefault="00253F4B" w:rsidP="007754D0">
      <w:pPr>
        <w:pStyle w:val="Caption"/>
        <w:keepNext/>
      </w:pPr>
      <w:r>
        <w:t xml:space="preserve">Table </w:t>
      </w:r>
      <w:r w:rsidR="00561E0A">
        <w:fldChar w:fldCharType="begin"/>
      </w:r>
      <w:r w:rsidR="00561E0A">
        <w:instrText xml:space="preserve"> SEQ Table \* ARABIC </w:instrText>
      </w:r>
      <w:r w:rsidR="00561E0A">
        <w:fldChar w:fldCharType="separate"/>
      </w:r>
      <w:r w:rsidR="001C0481">
        <w:rPr>
          <w:noProof/>
        </w:rPr>
        <w:t>2</w:t>
      </w:r>
      <w:r w:rsidR="00561E0A">
        <w:rPr>
          <w:noProof/>
        </w:rPr>
        <w:fldChar w:fldCharType="end"/>
      </w:r>
      <w:r>
        <w:tab/>
        <w:t xml:space="preserve">Example </w:t>
      </w:r>
      <w:r w:rsidR="00115AE1">
        <w:t>SPR</w:t>
      </w:r>
      <w:r>
        <w:t xml:space="preserve"> Risk Register</w:t>
      </w:r>
    </w:p>
    <w:tbl>
      <w:tblPr>
        <w:tblStyle w:val="TableGrid"/>
        <w:tblW w:w="5000" w:type="pct"/>
        <w:shd w:val="clear" w:color="auto" w:fill="CAEDFB" w:themeFill="accent4" w:themeFillTint="33"/>
        <w:tblLook w:val="04A0" w:firstRow="1" w:lastRow="0" w:firstColumn="1" w:lastColumn="0" w:noHBand="0" w:noVBand="1"/>
      </w:tblPr>
      <w:tblGrid>
        <w:gridCol w:w="515"/>
        <w:gridCol w:w="766"/>
        <w:gridCol w:w="766"/>
        <w:gridCol w:w="766"/>
        <w:gridCol w:w="766"/>
        <w:gridCol w:w="778"/>
        <w:gridCol w:w="2398"/>
        <w:gridCol w:w="703"/>
        <w:gridCol w:w="491"/>
        <w:gridCol w:w="623"/>
        <w:gridCol w:w="561"/>
        <w:gridCol w:w="491"/>
        <w:gridCol w:w="1719"/>
        <w:gridCol w:w="1360"/>
        <w:gridCol w:w="503"/>
        <w:gridCol w:w="491"/>
        <w:gridCol w:w="566"/>
        <w:gridCol w:w="558"/>
        <w:gridCol w:w="491"/>
        <w:gridCol w:w="3980"/>
        <w:gridCol w:w="1629"/>
      </w:tblGrid>
      <w:tr w:rsidR="00DF204A" w:rsidRPr="00B15F54" w14:paraId="678B4369" w14:textId="6E5777FD" w:rsidTr="00942C42">
        <w:trPr>
          <w:cantSplit/>
          <w:trHeight w:val="523"/>
        </w:trPr>
        <w:tc>
          <w:tcPr>
            <w:tcW w:w="123" w:type="pct"/>
            <w:vMerge w:val="restart"/>
            <w:shd w:val="clear" w:color="auto" w:fill="CAEDFB" w:themeFill="accent4" w:themeFillTint="33"/>
            <w:textDirection w:val="tbRl"/>
            <w:vAlign w:val="center"/>
          </w:tcPr>
          <w:p w14:paraId="69DE212D" w14:textId="31DC3970" w:rsidR="00AC533C" w:rsidRPr="007754D0" w:rsidRDefault="00AC533C" w:rsidP="007754D0">
            <w:pPr>
              <w:pStyle w:val="TableStyle"/>
              <w:ind w:left="113" w:right="113"/>
              <w:rPr>
                <w:b/>
                <w:bCs/>
                <w:sz w:val="18"/>
                <w:szCs w:val="18"/>
              </w:rPr>
            </w:pPr>
            <w:r w:rsidRPr="007754D0">
              <w:rPr>
                <w:b/>
                <w:bCs/>
                <w:sz w:val="18"/>
                <w:szCs w:val="18"/>
              </w:rPr>
              <w:t>Risk ID</w:t>
            </w:r>
          </w:p>
        </w:tc>
        <w:tc>
          <w:tcPr>
            <w:tcW w:w="922" w:type="pct"/>
            <w:gridSpan w:val="5"/>
            <w:shd w:val="clear" w:color="auto" w:fill="CAEDFB" w:themeFill="accent4" w:themeFillTint="33"/>
            <w:vAlign w:val="center"/>
          </w:tcPr>
          <w:p w14:paraId="7EF0E3B8" w14:textId="167A5FB7" w:rsidR="00AC533C" w:rsidRPr="007754D0" w:rsidRDefault="07BCB972" w:rsidP="00942C42">
            <w:pPr>
              <w:pStyle w:val="TableStyle"/>
              <w:ind w:left="113" w:right="113"/>
              <w:jc w:val="center"/>
              <w:rPr>
                <w:b/>
                <w:bCs/>
                <w:sz w:val="18"/>
                <w:szCs w:val="18"/>
              </w:rPr>
            </w:pPr>
            <w:r w:rsidRPr="4083F948">
              <w:rPr>
                <w:b/>
                <w:bCs/>
                <w:sz w:val="18"/>
                <w:szCs w:val="18"/>
              </w:rPr>
              <w:t>Risk Description</w:t>
            </w:r>
          </w:p>
        </w:tc>
        <w:tc>
          <w:tcPr>
            <w:tcW w:w="574" w:type="pct"/>
            <w:vMerge w:val="restart"/>
            <w:shd w:val="clear" w:color="auto" w:fill="CAEDFB" w:themeFill="accent4" w:themeFillTint="33"/>
            <w:vAlign w:val="center"/>
          </w:tcPr>
          <w:p w14:paraId="7A5D0852" w14:textId="7A7C4846" w:rsidR="00AC533C" w:rsidRPr="007754D0" w:rsidRDefault="00AC533C" w:rsidP="00AC533C">
            <w:pPr>
              <w:pStyle w:val="TableStyle"/>
              <w:rPr>
                <w:b/>
                <w:bCs/>
                <w:sz w:val="18"/>
                <w:szCs w:val="18"/>
              </w:rPr>
            </w:pPr>
            <w:r w:rsidRPr="007754D0">
              <w:rPr>
                <w:b/>
                <w:bCs/>
                <w:sz w:val="18"/>
                <w:szCs w:val="18"/>
              </w:rPr>
              <w:t>Inherent controls (implicit in landform design)</w:t>
            </w:r>
          </w:p>
        </w:tc>
        <w:tc>
          <w:tcPr>
            <w:tcW w:w="169" w:type="pct"/>
            <w:vMerge w:val="restart"/>
            <w:shd w:val="clear" w:color="auto" w:fill="CAEDFB" w:themeFill="accent4" w:themeFillTint="33"/>
            <w:textDirection w:val="tbRl"/>
            <w:vAlign w:val="center"/>
          </w:tcPr>
          <w:p w14:paraId="5E152301" w14:textId="77B0931F" w:rsidR="00AC533C" w:rsidRPr="007754D0" w:rsidRDefault="00AC533C" w:rsidP="007754D0">
            <w:pPr>
              <w:pStyle w:val="TableStyle"/>
              <w:ind w:left="113" w:right="113"/>
              <w:rPr>
                <w:b/>
                <w:bCs/>
                <w:sz w:val="18"/>
                <w:szCs w:val="18"/>
              </w:rPr>
            </w:pPr>
            <w:r w:rsidRPr="007754D0">
              <w:rPr>
                <w:b/>
                <w:bCs/>
                <w:sz w:val="18"/>
                <w:szCs w:val="18"/>
              </w:rPr>
              <w:t>Consequence category</w:t>
            </w:r>
          </w:p>
        </w:tc>
        <w:tc>
          <w:tcPr>
            <w:tcW w:w="521" w:type="pct"/>
            <w:gridSpan w:val="4"/>
            <w:shd w:val="clear" w:color="auto" w:fill="CAEDFB" w:themeFill="accent4" w:themeFillTint="33"/>
            <w:vAlign w:val="center"/>
          </w:tcPr>
          <w:p w14:paraId="5B291F49" w14:textId="2577102A" w:rsidR="00AC533C" w:rsidRPr="007754D0" w:rsidRDefault="00AC533C" w:rsidP="007754D0">
            <w:pPr>
              <w:pStyle w:val="TableStyle"/>
              <w:jc w:val="center"/>
              <w:rPr>
                <w:b/>
                <w:bCs/>
                <w:sz w:val="18"/>
                <w:szCs w:val="18"/>
              </w:rPr>
            </w:pPr>
            <w:r w:rsidRPr="007754D0">
              <w:rPr>
                <w:b/>
                <w:bCs/>
                <w:sz w:val="18"/>
                <w:szCs w:val="18"/>
              </w:rPr>
              <w:t>Inherent risk</w:t>
            </w:r>
          </w:p>
        </w:tc>
        <w:tc>
          <w:tcPr>
            <w:tcW w:w="859" w:type="pct"/>
            <w:gridSpan w:val="3"/>
            <w:shd w:val="clear" w:color="auto" w:fill="CAEDFB" w:themeFill="accent4" w:themeFillTint="33"/>
            <w:vAlign w:val="center"/>
          </w:tcPr>
          <w:p w14:paraId="780B5BC9" w14:textId="5BA7F89C" w:rsidR="00AC533C" w:rsidRPr="007754D0" w:rsidRDefault="006148B5" w:rsidP="001A1E31">
            <w:pPr>
              <w:pStyle w:val="TableStyle"/>
              <w:jc w:val="center"/>
              <w:rPr>
                <w:b/>
                <w:bCs/>
                <w:sz w:val="18"/>
                <w:szCs w:val="18"/>
              </w:rPr>
            </w:pPr>
            <w:r>
              <w:rPr>
                <w:b/>
                <w:bCs/>
                <w:sz w:val="18"/>
                <w:szCs w:val="18"/>
              </w:rPr>
              <w:t>Post closure</w:t>
            </w:r>
            <w:r w:rsidR="00AC533C" w:rsidRPr="007754D0">
              <w:rPr>
                <w:b/>
                <w:bCs/>
                <w:sz w:val="18"/>
                <w:szCs w:val="18"/>
              </w:rPr>
              <w:t xml:space="preserve"> controls</w:t>
            </w:r>
          </w:p>
        </w:tc>
        <w:tc>
          <w:tcPr>
            <w:tcW w:w="489" w:type="pct"/>
            <w:gridSpan w:val="4"/>
            <w:shd w:val="clear" w:color="auto" w:fill="CAEDFB" w:themeFill="accent4" w:themeFillTint="33"/>
            <w:vAlign w:val="center"/>
          </w:tcPr>
          <w:p w14:paraId="40C3866E" w14:textId="1E24778F" w:rsidR="00AC533C" w:rsidRPr="007754D0" w:rsidRDefault="00AC533C" w:rsidP="007754D0">
            <w:pPr>
              <w:pStyle w:val="TableStyle"/>
              <w:jc w:val="center"/>
              <w:rPr>
                <w:b/>
                <w:bCs/>
                <w:sz w:val="18"/>
                <w:szCs w:val="18"/>
              </w:rPr>
            </w:pPr>
            <w:r w:rsidRPr="007754D0">
              <w:rPr>
                <w:b/>
                <w:bCs/>
                <w:sz w:val="18"/>
                <w:szCs w:val="18"/>
              </w:rPr>
              <w:t>Residual Risk</w:t>
            </w:r>
          </w:p>
        </w:tc>
        <w:tc>
          <w:tcPr>
            <w:tcW w:w="952" w:type="pct"/>
            <w:vMerge w:val="restart"/>
            <w:shd w:val="clear" w:color="auto" w:fill="CAEDFB" w:themeFill="accent4" w:themeFillTint="33"/>
            <w:vAlign w:val="center"/>
          </w:tcPr>
          <w:p w14:paraId="4E767650" w14:textId="71E0D769" w:rsidR="00881B71" w:rsidRPr="007754D0" w:rsidRDefault="00ED3462" w:rsidP="00E37BAC">
            <w:pPr>
              <w:pStyle w:val="TableStyle"/>
              <w:rPr>
                <w:b/>
                <w:bCs/>
                <w:sz w:val="18"/>
                <w:szCs w:val="18"/>
              </w:rPr>
            </w:pPr>
            <w:r w:rsidRPr="007754D0">
              <w:rPr>
                <w:b/>
                <w:bCs/>
                <w:sz w:val="18"/>
                <w:szCs w:val="18"/>
              </w:rPr>
              <w:t xml:space="preserve">Further work required to improve </w:t>
            </w:r>
            <w:r w:rsidR="00F6594B">
              <w:rPr>
                <w:b/>
                <w:bCs/>
                <w:sz w:val="18"/>
                <w:szCs w:val="18"/>
              </w:rPr>
              <w:t>confidence</w:t>
            </w:r>
            <w:r w:rsidR="00F6594B" w:rsidRPr="007754D0">
              <w:rPr>
                <w:b/>
                <w:bCs/>
                <w:sz w:val="18"/>
                <w:szCs w:val="18"/>
              </w:rPr>
              <w:t xml:space="preserve"> </w:t>
            </w:r>
          </w:p>
          <w:p w14:paraId="31A5AAA3" w14:textId="60CB649E" w:rsidR="00881B71" w:rsidRPr="007754D0" w:rsidRDefault="00881B71" w:rsidP="00881B71">
            <w:pPr>
              <w:pStyle w:val="TableStyle"/>
              <w:ind w:left="113" w:right="113"/>
              <w:rPr>
                <w:b/>
                <w:bCs/>
                <w:sz w:val="18"/>
                <w:szCs w:val="18"/>
              </w:rPr>
            </w:pPr>
          </w:p>
          <w:p w14:paraId="74305128" w14:textId="7FCBC9C0" w:rsidR="00ED3462" w:rsidRPr="007754D0" w:rsidRDefault="00ED3462" w:rsidP="00881B71">
            <w:pPr>
              <w:pStyle w:val="TableStyle"/>
              <w:ind w:left="113" w:right="113"/>
              <w:rPr>
                <w:b/>
                <w:bCs/>
                <w:sz w:val="18"/>
                <w:szCs w:val="18"/>
              </w:rPr>
            </w:pPr>
          </w:p>
        </w:tc>
        <w:tc>
          <w:tcPr>
            <w:tcW w:w="390" w:type="pct"/>
            <w:vMerge w:val="restart"/>
            <w:shd w:val="clear" w:color="auto" w:fill="CAEDFB" w:themeFill="accent4" w:themeFillTint="33"/>
            <w:vAlign w:val="center"/>
          </w:tcPr>
          <w:p w14:paraId="2CA319A6" w14:textId="4A205AE3" w:rsidR="00AC533C" w:rsidRPr="007754D0" w:rsidRDefault="00F05977" w:rsidP="00E37BAC">
            <w:pPr>
              <w:pStyle w:val="TableStyle"/>
              <w:rPr>
                <w:b/>
                <w:bCs/>
                <w:sz w:val="18"/>
                <w:szCs w:val="18"/>
              </w:rPr>
            </w:pPr>
            <w:r>
              <w:rPr>
                <w:b/>
                <w:bCs/>
                <w:sz w:val="18"/>
                <w:szCs w:val="18"/>
              </w:rPr>
              <w:t>Estimated timeframe / milestone delivery date</w:t>
            </w:r>
          </w:p>
        </w:tc>
      </w:tr>
      <w:tr w:rsidR="00DF204A" w:rsidRPr="00B15F54" w14:paraId="703AD6EF" w14:textId="77777777" w:rsidTr="0070290F">
        <w:trPr>
          <w:cantSplit/>
          <w:trHeight w:val="1409"/>
        </w:trPr>
        <w:tc>
          <w:tcPr>
            <w:tcW w:w="123" w:type="pct"/>
            <w:vMerge/>
            <w:textDirection w:val="tbRl"/>
            <w:vAlign w:val="center"/>
          </w:tcPr>
          <w:p w14:paraId="0016DD3B" w14:textId="77777777" w:rsidR="00AC533C" w:rsidRPr="007754D0" w:rsidRDefault="00AC533C" w:rsidP="007754D0">
            <w:pPr>
              <w:pStyle w:val="TableStyle"/>
              <w:ind w:left="113" w:right="113"/>
              <w:rPr>
                <w:b/>
                <w:bCs/>
                <w:sz w:val="18"/>
                <w:szCs w:val="18"/>
              </w:rPr>
            </w:pPr>
          </w:p>
        </w:tc>
        <w:tc>
          <w:tcPr>
            <w:tcW w:w="184" w:type="pct"/>
            <w:shd w:val="clear" w:color="auto" w:fill="CAEDFB" w:themeFill="accent4" w:themeFillTint="33"/>
            <w:textDirection w:val="tbRl"/>
            <w:vAlign w:val="center"/>
          </w:tcPr>
          <w:p w14:paraId="50B8FDE3" w14:textId="7179A850" w:rsidR="00AC533C" w:rsidRPr="005B4602" w:rsidRDefault="07BCB972" w:rsidP="009B0794">
            <w:pPr>
              <w:pStyle w:val="TableStyle"/>
              <w:ind w:left="113" w:right="113"/>
              <w:rPr>
                <w:b/>
                <w:bCs/>
                <w:sz w:val="16"/>
                <w:szCs w:val="16"/>
              </w:rPr>
            </w:pPr>
            <w:r w:rsidRPr="005B4602">
              <w:rPr>
                <w:b/>
                <w:bCs/>
                <w:sz w:val="16"/>
                <w:szCs w:val="16"/>
              </w:rPr>
              <w:t>Domain</w:t>
            </w:r>
          </w:p>
        </w:tc>
        <w:tc>
          <w:tcPr>
            <w:tcW w:w="184" w:type="pct"/>
            <w:shd w:val="clear" w:color="auto" w:fill="CAEDFB" w:themeFill="accent4" w:themeFillTint="33"/>
            <w:textDirection w:val="tbRl"/>
            <w:vAlign w:val="center"/>
          </w:tcPr>
          <w:p w14:paraId="33B7ED28" w14:textId="2243EAB6" w:rsidR="00AC533C" w:rsidRPr="009B0794" w:rsidRDefault="5D97BCC1" w:rsidP="009B0794">
            <w:pPr>
              <w:pStyle w:val="TableStyle"/>
              <w:ind w:left="113" w:right="113"/>
              <w:rPr>
                <w:b/>
                <w:bCs/>
                <w:sz w:val="16"/>
                <w:szCs w:val="16"/>
              </w:rPr>
            </w:pPr>
            <w:r w:rsidRPr="005B4602">
              <w:rPr>
                <w:b/>
                <w:bCs/>
                <w:sz w:val="16"/>
                <w:szCs w:val="16"/>
              </w:rPr>
              <w:t>Source</w:t>
            </w:r>
          </w:p>
          <w:p w14:paraId="2A2E6993" w14:textId="38FBE6AC" w:rsidR="00AC533C" w:rsidRPr="005B4602" w:rsidRDefault="5D97BCC1" w:rsidP="009B0794">
            <w:pPr>
              <w:pStyle w:val="TableStyle"/>
              <w:ind w:left="113" w:right="113"/>
              <w:rPr>
                <w:b/>
                <w:bCs/>
                <w:sz w:val="16"/>
                <w:szCs w:val="16"/>
              </w:rPr>
            </w:pPr>
            <w:r w:rsidRPr="005B4602">
              <w:rPr>
                <w:b/>
                <w:bCs/>
                <w:sz w:val="16"/>
                <w:szCs w:val="16"/>
              </w:rPr>
              <w:t xml:space="preserve"> / Hazard</w:t>
            </w:r>
          </w:p>
        </w:tc>
        <w:tc>
          <w:tcPr>
            <w:tcW w:w="184" w:type="pct"/>
            <w:shd w:val="clear" w:color="auto" w:fill="CAEDFB" w:themeFill="accent4" w:themeFillTint="33"/>
            <w:textDirection w:val="tbRl"/>
            <w:vAlign w:val="center"/>
          </w:tcPr>
          <w:p w14:paraId="5194F528" w14:textId="200E0766" w:rsidR="00AC533C" w:rsidRPr="005B4602" w:rsidRDefault="00AC533C" w:rsidP="009B0794">
            <w:pPr>
              <w:pStyle w:val="TableStyle"/>
              <w:ind w:left="113" w:right="113"/>
              <w:rPr>
                <w:b/>
                <w:bCs/>
                <w:sz w:val="16"/>
                <w:szCs w:val="16"/>
              </w:rPr>
            </w:pPr>
            <w:r w:rsidRPr="005B4602">
              <w:rPr>
                <w:b/>
                <w:bCs/>
                <w:sz w:val="16"/>
                <w:szCs w:val="16"/>
              </w:rPr>
              <w:t>Pathway</w:t>
            </w:r>
          </w:p>
        </w:tc>
        <w:tc>
          <w:tcPr>
            <w:tcW w:w="184" w:type="pct"/>
            <w:shd w:val="clear" w:color="auto" w:fill="CAEDFB" w:themeFill="accent4" w:themeFillTint="33"/>
            <w:textDirection w:val="tbRl"/>
            <w:vAlign w:val="center"/>
          </w:tcPr>
          <w:p w14:paraId="5A8DE7AE" w14:textId="553E9577" w:rsidR="00AC533C" w:rsidRPr="005B4602" w:rsidRDefault="00AC533C" w:rsidP="009B0794">
            <w:pPr>
              <w:pStyle w:val="TableStyle"/>
              <w:ind w:left="113" w:right="113"/>
              <w:rPr>
                <w:b/>
                <w:bCs/>
                <w:sz w:val="16"/>
                <w:szCs w:val="16"/>
              </w:rPr>
            </w:pPr>
            <w:r w:rsidRPr="005B4602">
              <w:rPr>
                <w:b/>
                <w:bCs/>
                <w:sz w:val="16"/>
                <w:szCs w:val="16"/>
              </w:rPr>
              <w:t>Receptor</w:t>
            </w:r>
          </w:p>
        </w:tc>
        <w:tc>
          <w:tcPr>
            <w:tcW w:w="187" w:type="pct"/>
            <w:shd w:val="clear" w:color="auto" w:fill="CAEDFB" w:themeFill="accent4" w:themeFillTint="33"/>
            <w:textDirection w:val="tbRl"/>
            <w:vAlign w:val="bottom"/>
          </w:tcPr>
          <w:p w14:paraId="1CCEF441" w14:textId="5CF8E606" w:rsidR="00AC533C" w:rsidRPr="005B4602" w:rsidRDefault="00AC533C" w:rsidP="009B0794">
            <w:pPr>
              <w:pStyle w:val="TableStyle"/>
              <w:ind w:left="113" w:right="113"/>
              <w:jc w:val="center"/>
              <w:rPr>
                <w:b/>
                <w:bCs/>
                <w:sz w:val="16"/>
                <w:szCs w:val="16"/>
              </w:rPr>
            </w:pPr>
            <w:r w:rsidRPr="005B4602">
              <w:rPr>
                <w:b/>
                <w:bCs/>
                <w:sz w:val="16"/>
                <w:szCs w:val="16"/>
              </w:rPr>
              <w:t>Potential consequence</w:t>
            </w:r>
          </w:p>
        </w:tc>
        <w:tc>
          <w:tcPr>
            <w:tcW w:w="574" w:type="pct"/>
            <w:vMerge/>
            <w:textDirection w:val="tbRl"/>
            <w:vAlign w:val="center"/>
          </w:tcPr>
          <w:p w14:paraId="4A7D1C95" w14:textId="77777777" w:rsidR="00AC533C" w:rsidRPr="007754D0" w:rsidRDefault="00AC533C" w:rsidP="007754D0">
            <w:pPr>
              <w:pStyle w:val="TableStyle"/>
              <w:ind w:left="113" w:right="113"/>
              <w:rPr>
                <w:b/>
                <w:bCs/>
                <w:sz w:val="18"/>
                <w:szCs w:val="18"/>
              </w:rPr>
            </w:pPr>
          </w:p>
        </w:tc>
        <w:tc>
          <w:tcPr>
            <w:tcW w:w="169" w:type="pct"/>
            <w:vMerge/>
            <w:textDirection w:val="tbRl"/>
            <w:vAlign w:val="center"/>
          </w:tcPr>
          <w:p w14:paraId="3CBE5818" w14:textId="77777777" w:rsidR="00AC533C" w:rsidRPr="007754D0" w:rsidRDefault="00AC533C" w:rsidP="007754D0">
            <w:pPr>
              <w:pStyle w:val="TableStyle"/>
              <w:ind w:left="113" w:right="113"/>
              <w:rPr>
                <w:b/>
                <w:bCs/>
                <w:sz w:val="18"/>
                <w:szCs w:val="18"/>
              </w:rPr>
            </w:pPr>
          </w:p>
        </w:tc>
        <w:tc>
          <w:tcPr>
            <w:tcW w:w="118" w:type="pct"/>
            <w:shd w:val="clear" w:color="auto" w:fill="CAEDFB" w:themeFill="accent4" w:themeFillTint="33"/>
            <w:textDirection w:val="tbRl"/>
            <w:vAlign w:val="center"/>
          </w:tcPr>
          <w:p w14:paraId="112A541E" w14:textId="01DFA867" w:rsidR="00AC533C" w:rsidRPr="00942C42" w:rsidRDefault="00AC533C" w:rsidP="007754D0">
            <w:pPr>
              <w:pStyle w:val="TableStyle"/>
              <w:ind w:left="113" w:right="113"/>
              <w:rPr>
                <w:b/>
                <w:bCs/>
                <w:sz w:val="16"/>
                <w:szCs w:val="16"/>
              </w:rPr>
            </w:pPr>
            <w:r w:rsidRPr="00942C42">
              <w:rPr>
                <w:b/>
                <w:bCs/>
                <w:sz w:val="16"/>
                <w:szCs w:val="16"/>
              </w:rPr>
              <w:t>Likelihood</w:t>
            </w:r>
          </w:p>
        </w:tc>
        <w:tc>
          <w:tcPr>
            <w:tcW w:w="150" w:type="pct"/>
            <w:shd w:val="clear" w:color="auto" w:fill="CAEDFB" w:themeFill="accent4" w:themeFillTint="33"/>
            <w:textDirection w:val="tbRl"/>
            <w:vAlign w:val="center"/>
          </w:tcPr>
          <w:p w14:paraId="1FE9CD01" w14:textId="64F85107" w:rsidR="00AC533C" w:rsidRPr="00942C42" w:rsidRDefault="00AC533C" w:rsidP="007754D0">
            <w:pPr>
              <w:pStyle w:val="TableStyle"/>
              <w:ind w:left="113" w:right="113"/>
              <w:rPr>
                <w:b/>
                <w:bCs/>
                <w:sz w:val="16"/>
                <w:szCs w:val="16"/>
              </w:rPr>
            </w:pPr>
            <w:r w:rsidRPr="00942C42">
              <w:rPr>
                <w:b/>
                <w:bCs/>
                <w:sz w:val="16"/>
                <w:szCs w:val="16"/>
              </w:rPr>
              <w:t>Consequence</w:t>
            </w:r>
          </w:p>
        </w:tc>
        <w:tc>
          <w:tcPr>
            <w:tcW w:w="135" w:type="pct"/>
            <w:shd w:val="clear" w:color="auto" w:fill="CAEDFB" w:themeFill="accent4" w:themeFillTint="33"/>
            <w:textDirection w:val="tbRl"/>
            <w:vAlign w:val="center"/>
          </w:tcPr>
          <w:p w14:paraId="676A6B7D" w14:textId="7DFAEE34" w:rsidR="00AC533C" w:rsidRPr="00942C42" w:rsidRDefault="00AC533C" w:rsidP="007754D0">
            <w:pPr>
              <w:pStyle w:val="TableStyle"/>
              <w:ind w:left="113" w:right="113"/>
              <w:rPr>
                <w:b/>
                <w:bCs/>
                <w:sz w:val="16"/>
                <w:szCs w:val="16"/>
              </w:rPr>
            </w:pPr>
            <w:r w:rsidRPr="00942C42">
              <w:rPr>
                <w:b/>
                <w:bCs/>
                <w:sz w:val="16"/>
                <w:szCs w:val="16"/>
              </w:rPr>
              <w:t>Risk Rating</w:t>
            </w:r>
          </w:p>
        </w:tc>
        <w:tc>
          <w:tcPr>
            <w:tcW w:w="118" w:type="pct"/>
            <w:shd w:val="clear" w:color="auto" w:fill="CAEDFB" w:themeFill="accent4" w:themeFillTint="33"/>
            <w:textDirection w:val="tbRl"/>
            <w:vAlign w:val="center"/>
          </w:tcPr>
          <w:p w14:paraId="6D4673FF" w14:textId="5C39B946" w:rsidR="00AC533C" w:rsidRPr="00942C42" w:rsidRDefault="00F6594B" w:rsidP="007754D0">
            <w:pPr>
              <w:pStyle w:val="TableStyle"/>
              <w:ind w:left="113" w:right="113"/>
              <w:rPr>
                <w:b/>
                <w:bCs/>
                <w:sz w:val="16"/>
                <w:szCs w:val="16"/>
              </w:rPr>
            </w:pPr>
            <w:r w:rsidRPr="00942C42">
              <w:rPr>
                <w:b/>
                <w:bCs/>
                <w:sz w:val="16"/>
                <w:szCs w:val="16"/>
              </w:rPr>
              <w:t>Confidence</w:t>
            </w:r>
          </w:p>
        </w:tc>
        <w:tc>
          <w:tcPr>
            <w:tcW w:w="412" w:type="pct"/>
            <w:shd w:val="clear" w:color="auto" w:fill="CAEDFB" w:themeFill="accent4" w:themeFillTint="33"/>
            <w:textDirection w:val="tbRl"/>
            <w:vAlign w:val="center"/>
          </w:tcPr>
          <w:p w14:paraId="42DCF153" w14:textId="244686FD" w:rsidR="00AC533C" w:rsidRPr="00942C42" w:rsidRDefault="00AC533C" w:rsidP="007754D0">
            <w:pPr>
              <w:pStyle w:val="TableStyle"/>
              <w:ind w:left="113" w:right="113"/>
              <w:rPr>
                <w:b/>
                <w:bCs/>
                <w:sz w:val="16"/>
                <w:szCs w:val="16"/>
              </w:rPr>
            </w:pPr>
            <w:r w:rsidRPr="00942C42">
              <w:rPr>
                <w:b/>
                <w:bCs/>
                <w:sz w:val="16"/>
                <w:szCs w:val="16"/>
              </w:rPr>
              <w:t>Controls</w:t>
            </w:r>
          </w:p>
        </w:tc>
        <w:tc>
          <w:tcPr>
            <w:tcW w:w="326" w:type="pct"/>
            <w:shd w:val="clear" w:color="auto" w:fill="CAEDFB" w:themeFill="accent4" w:themeFillTint="33"/>
            <w:textDirection w:val="tbRl"/>
            <w:vAlign w:val="center"/>
          </w:tcPr>
          <w:p w14:paraId="0F40C9A5" w14:textId="72508940" w:rsidR="00AC533C" w:rsidRPr="00942C42" w:rsidRDefault="00AC533C" w:rsidP="007754D0">
            <w:pPr>
              <w:pStyle w:val="TableStyle"/>
              <w:ind w:left="113" w:right="113"/>
              <w:rPr>
                <w:b/>
                <w:bCs/>
                <w:sz w:val="16"/>
                <w:szCs w:val="16"/>
              </w:rPr>
            </w:pPr>
            <w:r w:rsidRPr="00942C42">
              <w:rPr>
                <w:b/>
                <w:bCs/>
                <w:sz w:val="16"/>
                <w:szCs w:val="16"/>
              </w:rPr>
              <w:t>Relevant control plan or procedure</w:t>
            </w:r>
          </w:p>
        </w:tc>
        <w:tc>
          <w:tcPr>
            <w:tcW w:w="121" w:type="pct"/>
            <w:shd w:val="clear" w:color="auto" w:fill="CAEDFB" w:themeFill="accent4" w:themeFillTint="33"/>
            <w:textDirection w:val="tbRl"/>
            <w:vAlign w:val="center"/>
          </w:tcPr>
          <w:p w14:paraId="2EB6ACFF" w14:textId="45BA3FBC" w:rsidR="00AC533C" w:rsidRPr="00942C42" w:rsidRDefault="00F6594B" w:rsidP="00AC533C">
            <w:pPr>
              <w:pStyle w:val="TableStyle"/>
              <w:ind w:left="113" w:right="113"/>
              <w:rPr>
                <w:b/>
                <w:bCs/>
                <w:sz w:val="16"/>
                <w:szCs w:val="16"/>
              </w:rPr>
            </w:pPr>
            <w:r w:rsidRPr="00942C42">
              <w:rPr>
                <w:b/>
                <w:bCs/>
                <w:sz w:val="16"/>
                <w:szCs w:val="16"/>
              </w:rPr>
              <w:t>Confidence</w:t>
            </w:r>
          </w:p>
        </w:tc>
        <w:tc>
          <w:tcPr>
            <w:tcW w:w="117" w:type="pct"/>
            <w:shd w:val="clear" w:color="auto" w:fill="CAEDFB" w:themeFill="accent4" w:themeFillTint="33"/>
            <w:textDirection w:val="tbRl"/>
            <w:vAlign w:val="center"/>
          </w:tcPr>
          <w:p w14:paraId="1E554C0D" w14:textId="7C6AF7F0" w:rsidR="00AC533C" w:rsidRPr="00942C42" w:rsidRDefault="00AC533C" w:rsidP="007754D0">
            <w:pPr>
              <w:pStyle w:val="TableStyle"/>
              <w:ind w:left="113" w:right="113"/>
              <w:rPr>
                <w:b/>
                <w:bCs/>
                <w:sz w:val="16"/>
                <w:szCs w:val="16"/>
              </w:rPr>
            </w:pPr>
            <w:r w:rsidRPr="00942C42">
              <w:rPr>
                <w:b/>
                <w:bCs/>
                <w:sz w:val="16"/>
                <w:szCs w:val="16"/>
              </w:rPr>
              <w:t>Likelihood</w:t>
            </w:r>
          </w:p>
        </w:tc>
        <w:tc>
          <w:tcPr>
            <w:tcW w:w="136" w:type="pct"/>
            <w:shd w:val="clear" w:color="auto" w:fill="CAEDFB" w:themeFill="accent4" w:themeFillTint="33"/>
            <w:textDirection w:val="tbRl"/>
            <w:vAlign w:val="center"/>
          </w:tcPr>
          <w:p w14:paraId="31CDA4B3" w14:textId="77777777" w:rsidR="00881B71" w:rsidRPr="00942C42" w:rsidRDefault="00881B71" w:rsidP="00881B71">
            <w:pPr>
              <w:pStyle w:val="TableStyle"/>
              <w:ind w:left="113" w:right="113"/>
              <w:rPr>
                <w:b/>
                <w:bCs/>
                <w:sz w:val="16"/>
                <w:szCs w:val="16"/>
              </w:rPr>
            </w:pPr>
            <w:r w:rsidRPr="00942C42">
              <w:rPr>
                <w:b/>
                <w:bCs/>
                <w:sz w:val="16"/>
                <w:szCs w:val="16"/>
              </w:rPr>
              <w:t>Consequence</w:t>
            </w:r>
          </w:p>
        </w:tc>
        <w:tc>
          <w:tcPr>
            <w:tcW w:w="134" w:type="pct"/>
            <w:shd w:val="clear" w:color="auto" w:fill="CAEDFB" w:themeFill="accent4" w:themeFillTint="33"/>
            <w:textDirection w:val="tbRl"/>
            <w:vAlign w:val="center"/>
          </w:tcPr>
          <w:p w14:paraId="393444D7" w14:textId="3952CF13" w:rsidR="00881B71" w:rsidRPr="00942C42" w:rsidRDefault="00881B71" w:rsidP="00881B71">
            <w:pPr>
              <w:pStyle w:val="TableStyle"/>
              <w:ind w:left="113" w:right="113"/>
              <w:rPr>
                <w:b/>
                <w:bCs/>
                <w:sz w:val="16"/>
                <w:szCs w:val="16"/>
              </w:rPr>
            </w:pPr>
            <w:r w:rsidRPr="00942C42">
              <w:rPr>
                <w:b/>
                <w:bCs/>
                <w:sz w:val="16"/>
                <w:szCs w:val="16"/>
              </w:rPr>
              <w:t>Risk rating</w:t>
            </w:r>
          </w:p>
        </w:tc>
        <w:tc>
          <w:tcPr>
            <w:tcW w:w="102" w:type="pct"/>
            <w:shd w:val="clear" w:color="auto" w:fill="CAEDFB" w:themeFill="accent4" w:themeFillTint="33"/>
            <w:textDirection w:val="tbRl"/>
            <w:vAlign w:val="center"/>
          </w:tcPr>
          <w:p w14:paraId="49535A7A" w14:textId="38DEDFE6" w:rsidR="00AC533C" w:rsidRPr="00942C42" w:rsidRDefault="00881B71" w:rsidP="007754D0">
            <w:pPr>
              <w:pStyle w:val="TableStyle"/>
              <w:ind w:left="113" w:right="113"/>
              <w:rPr>
                <w:b/>
                <w:bCs/>
                <w:sz w:val="16"/>
                <w:szCs w:val="16"/>
              </w:rPr>
            </w:pPr>
            <w:r w:rsidRPr="00942C42">
              <w:rPr>
                <w:b/>
                <w:bCs/>
                <w:sz w:val="16"/>
                <w:szCs w:val="16"/>
              </w:rPr>
              <w:t xml:space="preserve">Confidence </w:t>
            </w:r>
          </w:p>
        </w:tc>
        <w:tc>
          <w:tcPr>
            <w:tcW w:w="952" w:type="pct"/>
            <w:vMerge/>
            <w:textDirection w:val="tbRl"/>
            <w:vAlign w:val="center"/>
          </w:tcPr>
          <w:p w14:paraId="63622B77" w14:textId="77777777" w:rsidR="00ED3462" w:rsidRPr="007754D0" w:rsidRDefault="00ED3462" w:rsidP="007754D0">
            <w:pPr>
              <w:pStyle w:val="TableStyle"/>
              <w:ind w:left="113" w:right="113"/>
              <w:rPr>
                <w:b/>
                <w:bCs/>
                <w:sz w:val="18"/>
                <w:szCs w:val="18"/>
              </w:rPr>
            </w:pPr>
          </w:p>
        </w:tc>
        <w:tc>
          <w:tcPr>
            <w:tcW w:w="390" w:type="pct"/>
            <w:vMerge/>
            <w:textDirection w:val="tbRl"/>
            <w:vAlign w:val="center"/>
          </w:tcPr>
          <w:p w14:paraId="233981F2" w14:textId="77777777" w:rsidR="00AC533C" w:rsidRPr="007754D0" w:rsidRDefault="00AC533C" w:rsidP="007754D0">
            <w:pPr>
              <w:pStyle w:val="TableStyle"/>
              <w:ind w:left="113" w:right="113"/>
              <w:rPr>
                <w:b/>
                <w:bCs/>
                <w:sz w:val="18"/>
                <w:szCs w:val="18"/>
              </w:rPr>
            </w:pPr>
          </w:p>
        </w:tc>
      </w:tr>
      <w:tr w:rsidR="00DF204A" w:rsidRPr="00B15F54" w14:paraId="751EC064" w14:textId="77777777" w:rsidTr="00942C42">
        <w:trPr>
          <w:cantSplit/>
          <w:trHeight w:val="1554"/>
        </w:trPr>
        <w:tc>
          <w:tcPr>
            <w:tcW w:w="123" w:type="pct"/>
            <w:vAlign w:val="center"/>
          </w:tcPr>
          <w:p w14:paraId="15FEE8C7" w14:textId="77777777" w:rsidR="00F92F5E" w:rsidRPr="007754D0" w:rsidRDefault="00F92F5E" w:rsidP="007754D0">
            <w:pPr>
              <w:pStyle w:val="TableStyle"/>
              <w:rPr>
                <w:sz w:val="18"/>
                <w:szCs w:val="18"/>
              </w:rPr>
            </w:pPr>
          </w:p>
        </w:tc>
        <w:tc>
          <w:tcPr>
            <w:tcW w:w="184" w:type="pct"/>
            <w:vAlign w:val="center"/>
          </w:tcPr>
          <w:p w14:paraId="6F34DBB4" w14:textId="77777777" w:rsidR="00F92F5E" w:rsidRPr="007754D0" w:rsidRDefault="00F92F5E" w:rsidP="007754D0">
            <w:pPr>
              <w:pStyle w:val="TableStyle"/>
              <w:rPr>
                <w:sz w:val="18"/>
                <w:szCs w:val="18"/>
              </w:rPr>
            </w:pPr>
          </w:p>
        </w:tc>
        <w:tc>
          <w:tcPr>
            <w:tcW w:w="184" w:type="pct"/>
            <w:vAlign w:val="center"/>
          </w:tcPr>
          <w:p w14:paraId="20587D37" w14:textId="77777777" w:rsidR="00F92F5E" w:rsidRPr="007754D0" w:rsidRDefault="00F92F5E" w:rsidP="007754D0">
            <w:pPr>
              <w:pStyle w:val="TableStyle"/>
              <w:rPr>
                <w:sz w:val="18"/>
                <w:szCs w:val="18"/>
              </w:rPr>
            </w:pPr>
          </w:p>
        </w:tc>
        <w:tc>
          <w:tcPr>
            <w:tcW w:w="184" w:type="pct"/>
            <w:vAlign w:val="center"/>
          </w:tcPr>
          <w:p w14:paraId="7DC86E29" w14:textId="77777777" w:rsidR="00F92F5E" w:rsidRPr="007754D0" w:rsidRDefault="00F92F5E" w:rsidP="007754D0">
            <w:pPr>
              <w:pStyle w:val="TableStyle"/>
              <w:rPr>
                <w:sz w:val="18"/>
                <w:szCs w:val="18"/>
              </w:rPr>
            </w:pPr>
          </w:p>
        </w:tc>
        <w:tc>
          <w:tcPr>
            <w:tcW w:w="184" w:type="pct"/>
            <w:vAlign w:val="center"/>
          </w:tcPr>
          <w:p w14:paraId="0D370A2B" w14:textId="77777777" w:rsidR="00F92F5E" w:rsidRPr="007754D0" w:rsidRDefault="00F92F5E" w:rsidP="007754D0">
            <w:pPr>
              <w:pStyle w:val="TableStyle"/>
              <w:rPr>
                <w:sz w:val="18"/>
                <w:szCs w:val="18"/>
              </w:rPr>
            </w:pPr>
          </w:p>
        </w:tc>
        <w:tc>
          <w:tcPr>
            <w:tcW w:w="187" w:type="pct"/>
            <w:vAlign w:val="center"/>
          </w:tcPr>
          <w:p w14:paraId="138DBD0F" w14:textId="77777777" w:rsidR="00F92F5E" w:rsidRPr="007754D0" w:rsidRDefault="00F92F5E" w:rsidP="007754D0">
            <w:pPr>
              <w:pStyle w:val="TableStyle"/>
              <w:rPr>
                <w:sz w:val="18"/>
                <w:szCs w:val="18"/>
              </w:rPr>
            </w:pPr>
          </w:p>
        </w:tc>
        <w:tc>
          <w:tcPr>
            <w:tcW w:w="574" w:type="pct"/>
            <w:vAlign w:val="center"/>
          </w:tcPr>
          <w:p w14:paraId="3F9AAD15" w14:textId="77777777" w:rsidR="00F92F5E" w:rsidRPr="007754D0" w:rsidRDefault="00F92F5E" w:rsidP="007754D0">
            <w:pPr>
              <w:pStyle w:val="TableStyle"/>
              <w:rPr>
                <w:sz w:val="18"/>
                <w:szCs w:val="18"/>
              </w:rPr>
            </w:pPr>
          </w:p>
        </w:tc>
        <w:tc>
          <w:tcPr>
            <w:tcW w:w="169" w:type="pct"/>
            <w:vAlign w:val="center"/>
          </w:tcPr>
          <w:p w14:paraId="2BEEE728" w14:textId="77777777" w:rsidR="00F92F5E" w:rsidRPr="007754D0" w:rsidRDefault="00F92F5E" w:rsidP="007754D0">
            <w:pPr>
              <w:pStyle w:val="TableStyle"/>
              <w:rPr>
                <w:sz w:val="18"/>
                <w:szCs w:val="18"/>
              </w:rPr>
            </w:pPr>
          </w:p>
        </w:tc>
        <w:tc>
          <w:tcPr>
            <w:tcW w:w="118" w:type="pct"/>
            <w:vAlign w:val="center"/>
          </w:tcPr>
          <w:p w14:paraId="0726ABEC" w14:textId="77777777" w:rsidR="00F92F5E" w:rsidRPr="007754D0" w:rsidRDefault="00F92F5E" w:rsidP="007754D0">
            <w:pPr>
              <w:pStyle w:val="TableStyle"/>
              <w:rPr>
                <w:sz w:val="18"/>
                <w:szCs w:val="18"/>
              </w:rPr>
            </w:pPr>
          </w:p>
        </w:tc>
        <w:tc>
          <w:tcPr>
            <w:tcW w:w="150" w:type="pct"/>
            <w:vAlign w:val="center"/>
          </w:tcPr>
          <w:p w14:paraId="719E2DA9" w14:textId="77777777" w:rsidR="00F92F5E" w:rsidRPr="007754D0" w:rsidRDefault="00F92F5E" w:rsidP="007754D0">
            <w:pPr>
              <w:pStyle w:val="TableStyle"/>
              <w:rPr>
                <w:sz w:val="18"/>
                <w:szCs w:val="18"/>
              </w:rPr>
            </w:pPr>
          </w:p>
        </w:tc>
        <w:tc>
          <w:tcPr>
            <w:tcW w:w="135" w:type="pct"/>
            <w:vAlign w:val="center"/>
          </w:tcPr>
          <w:p w14:paraId="5C4A9DAF" w14:textId="77777777" w:rsidR="00F92F5E" w:rsidRPr="007754D0" w:rsidRDefault="00F92F5E" w:rsidP="007754D0">
            <w:pPr>
              <w:pStyle w:val="TableStyle"/>
              <w:rPr>
                <w:sz w:val="18"/>
                <w:szCs w:val="18"/>
              </w:rPr>
            </w:pPr>
          </w:p>
        </w:tc>
        <w:tc>
          <w:tcPr>
            <w:tcW w:w="118" w:type="pct"/>
            <w:vAlign w:val="center"/>
          </w:tcPr>
          <w:p w14:paraId="359034FE" w14:textId="77777777" w:rsidR="00F92F5E" w:rsidRPr="007754D0" w:rsidRDefault="00F92F5E" w:rsidP="007754D0">
            <w:pPr>
              <w:pStyle w:val="TableStyle"/>
              <w:rPr>
                <w:sz w:val="18"/>
                <w:szCs w:val="18"/>
              </w:rPr>
            </w:pPr>
          </w:p>
        </w:tc>
        <w:tc>
          <w:tcPr>
            <w:tcW w:w="412" w:type="pct"/>
            <w:vAlign w:val="center"/>
          </w:tcPr>
          <w:p w14:paraId="784DB5C2" w14:textId="77777777" w:rsidR="00F92F5E" w:rsidRPr="007754D0" w:rsidRDefault="00F92F5E" w:rsidP="007754D0">
            <w:pPr>
              <w:pStyle w:val="TableStyle"/>
              <w:rPr>
                <w:sz w:val="18"/>
                <w:szCs w:val="18"/>
              </w:rPr>
            </w:pPr>
          </w:p>
        </w:tc>
        <w:tc>
          <w:tcPr>
            <w:tcW w:w="326" w:type="pct"/>
            <w:vAlign w:val="center"/>
          </w:tcPr>
          <w:p w14:paraId="5842CA3D" w14:textId="77777777" w:rsidR="00F92F5E" w:rsidRPr="007754D0" w:rsidRDefault="00F92F5E" w:rsidP="007754D0">
            <w:pPr>
              <w:pStyle w:val="TableStyle"/>
              <w:rPr>
                <w:sz w:val="18"/>
                <w:szCs w:val="18"/>
              </w:rPr>
            </w:pPr>
          </w:p>
        </w:tc>
        <w:tc>
          <w:tcPr>
            <w:tcW w:w="121" w:type="pct"/>
            <w:vAlign w:val="center"/>
          </w:tcPr>
          <w:p w14:paraId="15555C41" w14:textId="77777777" w:rsidR="00F92F5E" w:rsidRPr="007754D0" w:rsidRDefault="00F92F5E" w:rsidP="007754D0">
            <w:pPr>
              <w:pStyle w:val="TableStyle"/>
              <w:rPr>
                <w:sz w:val="18"/>
                <w:szCs w:val="18"/>
              </w:rPr>
            </w:pPr>
          </w:p>
        </w:tc>
        <w:tc>
          <w:tcPr>
            <w:tcW w:w="117" w:type="pct"/>
            <w:vAlign w:val="center"/>
          </w:tcPr>
          <w:p w14:paraId="06C0F824" w14:textId="77777777" w:rsidR="00F92F5E" w:rsidRPr="007754D0" w:rsidRDefault="00F92F5E" w:rsidP="007754D0">
            <w:pPr>
              <w:pStyle w:val="TableStyle"/>
              <w:rPr>
                <w:sz w:val="18"/>
                <w:szCs w:val="18"/>
              </w:rPr>
            </w:pPr>
          </w:p>
        </w:tc>
        <w:tc>
          <w:tcPr>
            <w:tcW w:w="136" w:type="pct"/>
            <w:vAlign w:val="center"/>
          </w:tcPr>
          <w:p w14:paraId="4147CE31" w14:textId="77777777" w:rsidR="00881B71" w:rsidRPr="007754D0" w:rsidRDefault="00881B71" w:rsidP="00881B71">
            <w:pPr>
              <w:pStyle w:val="TableStyle"/>
              <w:rPr>
                <w:sz w:val="18"/>
                <w:szCs w:val="18"/>
              </w:rPr>
            </w:pPr>
          </w:p>
        </w:tc>
        <w:tc>
          <w:tcPr>
            <w:tcW w:w="134" w:type="pct"/>
            <w:vAlign w:val="center"/>
          </w:tcPr>
          <w:p w14:paraId="7ABE0FCE" w14:textId="77777777" w:rsidR="00881B71" w:rsidRPr="007754D0" w:rsidRDefault="00881B71" w:rsidP="00881B71">
            <w:pPr>
              <w:pStyle w:val="TableStyle"/>
              <w:rPr>
                <w:sz w:val="18"/>
                <w:szCs w:val="18"/>
              </w:rPr>
            </w:pPr>
          </w:p>
        </w:tc>
        <w:tc>
          <w:tcPr>
            <w:tcW w:w="102" w:type="pct"/>
            <w:vAlign w:val="center"/>
          </w:tcPr>
          <w:p w14:paraId="33FC3E57" w14:textId="77777777" w:rsidR="00F92F5E" w:rsidRPr="007754D0" w:rsidRDefault="00F92F5E" w:rsidP="007754D0">
            <w:pPr>
              <w:pStyle w:val="TableStyle"/>
              <w:rPr>
                <w:sz w:val="18"/>
                <w:szCs w:val="18"/>
              </w:rPr>
            </w:pPr>
          </w:p>
        </w:tc>
        <w:tc>
          <w:tcPr>
            <w:tcW w:w="952" w:type="pct"/>
            <w:vAlign w:val="center"/>
          </w:tcPr>
          <w:p w14:paraId="4550F4BF" w14:textId="77777777" w:rsidR="00ED3462" w:rsidRPr="007754D0" w:rsidRDefault="00ED3462" w:rsidP="007754D0">
            <w:pPr>
              <w:pStyle w:val="TableStyle"/>
              <w:rPr>
                <w:sz w:val="18"/>
                <w:szCs w:val="18"/>
              </w:rPr>
            </w:pPr>
          </w:p>
        </w:tc>
        <w:tc>
          <w:tcPr>
            <w:tcW w:w="390" w:type="pct"/>
            <w:vAlign w:val="center"/>
          </w:tcPr>
          <w:p w14:paraId="6BECC3C1" w14:textId="77777777" w:rsidR="00F92F5E" w:rsidRPr="007754D0" w:rsidRDefault="00F92F5E" w:rsidP="007754D0">
            <w:pPr>
              <w:pStyle w:val="TableStyle"/>
              <w:rPr>
                <w:sz w:val="18"/>
                <w:szCs w:val="18"/>
              </w:rPr>
            </w:pPr>
          </w:p>
        </w:tc>
      </w:tr>
    </w:tbl>
    <w:p w14:paraId="11C569D2" w14:textId="77777777" w:rsidR="001E4FA3" w:rsidRDefault="001E4FA3" w:rsidP="001E4FA3"/>
    <w:p w14:paraId="083B5117" w14:textId="77777777" w:rsidR="00971FD2" w:rsidRDefault="00971FD2" w:rsidP="001E4FA3"/>
    <w:tbl>
      <w:tblPr>
        <w:tblStyle w:val="TableGrid"/>
        <w:tblW w:w="5000" w:type="pct"/>
        <w:shd w:val="clear" w:color="auto" w:fill="CAEDFB" w:themeFill="accent4" w:themeFillTint="33"/>
        <w:tblLayout w:type="fixed"/>
        <w:tblLook w:val="04A0" w:firstRow="1" w:lastRow="0" w:firstColumn="1" w:lastColumn="0" w:noHBand="0" w:noVBand="1"/>
      </w:tblPr>
      <w:tblGrid>
        <w:gridCol w:w="516"/>
        <w:gridCol w:w="474"/>
        <w:gridCol w:w="1260"/>
        <w:gridCol w:w="879"/>
        <w:gridCol w:w="1837"/>
        <w:gridCol w:w="444"/>
        <w:gridCol w:w="481"/>
        <w:gridCol w:w="481"/>
        <w:gridCol w:w="481"/>
        <w:gridCol w:w="481"/>
        <w:gridCol w:w="481"/>
        <w:gridCol w:w="481"/>
        <w:gridCol w:w="481"/>
        <w:gridCol w:w="481"/>
        <w:gridCol w:w="389"/>
        <w:gridCol w:w="1167"/>
        <w:gridCol w:w="992"/>
        <w:gridCol w:w="711"/>
        <w:gridCol w:w="481"/>
        <w:gridCol w:w="481"/>
        <w:gridCol w:w="481"/>
        <w:gridCol w:w="481"/>
        <w:gridCol w:w="481"/>
        <w:gridCol w:w="481"/>
        <w:gridCol w:w="481"/>
        <w:gridCol w:w="481"/>
        <w:gridCol w:w="481"/>
        <w:gridCol w:w="481"/>
        <w:gridCol w:w="1983"/>
        <w:gridCol w:w="1611"/>
      </w:tblGrid>
      <w:tr w:rsidR="00DD20BD" w:rsidRPr="00B15F54" w14:paraId="45EBF707" w14:textId="77777777" w:rsidTr="00942C42">
        <w:trPr>
          <w:cantSplit/>
          <w:trHeight w:val="431"/>
        </w:trPr>
        <w:tc>
          <w:tcPr>
            <w:tcW w:w="123" w:type="pct"/>
            <w:vMerge w:val="restart"/>
            <w:shd w:val="clear" w:color="auto" w:fill="CAEDFB" w:themeFill="accent4" w:themeFillTint="33"/>
            <w:textDirection w:val="tbRl"/>
            <w:vAlign w:val="center"/>
          </w:tcPr>
          <w:p w14:paraId="6CB5BCC7" w14:textId="77777777" w:rsidR="00CD0B50" w:rsidRPr="007754D0" w:rsidRDefault="00CD0B50">
            <w:pPr>
              <w:pStyle w:val="TableStyle"/>
              <w:ind w:left="113" w:right="113"/>
              <w:rPr>
                <w:b/>
                <w:bCs/>
                <w:sz w:val="18"/>
                <w:szCs w:val="18"/>
              </w:rPr>
            </w:pPr>
            <w:r w:rsidRPr="007754D0">
              <w:rPr>
                <w:b/>
                <w:bCs/>
                <w:sz w:val="18"/>
                <w:szCs w:val="18"/>
              </w:rPr>
              <w:t>Risk ID</w:t>
            </w:r>
          </w:p>
        </w:tc>
        <w:tc>
          <w:tcPr>
            <w:tcW w:w="624" w:type="pct"/>
            <w:gridSpan w:val="3"/>
            <w:vMerge w:val="restart"/>
            <w:shd w:val="clear" w:color="auto" w:fill="CAEDFB" w:themeFill="accent4" w:themeFillTint="33"/>
            <w:vAlign w:val="center"/>
          </w:tcPr>
          <w:p w14:paraId="13181F79" w14:textId="77777777" w:rsidR="00CD0B50" w:rsidRDefault="00CD0B50">
            <w:pPr>
              <w:pStyle w:val="TableStyle"/>
              <w:jc w:val="center"/>
              <w:rPr>
                <w:b/>
                <w:bCs/>
                <w:sz w:val="18"/>
                <w:szCs w:val="18"/>
              </w:rPr>
            </w:pPr>
            <w:r>
              <w:rPr>
                <w:b/>
                <w:bCs/>
                <w:sz w:val="18"/>
                <w:szCs w:val="18"/>
              </w:rPr>
              <w:t>Risk Description</w:t>
            </w:r>
          </w:p>
        </w:tc>
        <w:tc>
          <w:tcPr>
            <w:tcW w:w="439" w:type="pct"/>
            <w:vMerge w:val="restart"/>
            <w:shd w:val="clear" w:color="auto" w:fill="CAEDFB" w:themeFill="accent4" w:themeFillTint="33"/>
            <w:vAlign w:val="center"/>
          </w:tcPr>
          <w:p w14:paraId="1F7C1E21" w14:textId="77777777" w:rsidR="00CD0B50" w:rsidRPr="007754D0" w:rsidRDefault="00CD0B50">
            <w:pPr>
              <w:pStyle w:val="TableStyle"/>
              <w:rPr>
                <w:b/>
                <w:bCs/>
                <w:sz w:val="18"/>
                <w:szCs w:val="18"/>
              </w:rPr>
            </w:pPr>
            <w:r w:rsidRPr="007754D0">
              <w:rPr>
                <w:b/>
                <w:bCs/>
                <w:sz w:val="18"/>
                <w:szCs w:val="18"/>
              </w:rPr>
              <w:t>Inherent controls (implicit in landform design)</w:t>
            </w:r>
          </w:p>
        </w:tc>
        <w:tc>
          <w:tcPr>
            <w:tcW w:w="1119" w:type="pct"/>
            <w:gridSpan w:val="10"/>
            <w:shd w:val="clear" w:color="auto" w:fill="CAEDFB" w:themeFill="accent4" w:themeFillTint="33"/>
            <w:vAlign w:val="center"/>
          </w:tcPr>
          <w:p w14:paraId="779CA22A" w14:textId="77777777" w:rsidR="00CD0B50" w:rsidRDefault="00CD0B50">
            <w:pPr>
              <w:pStyle w:val="TableStyle"/>
              <w:jc w:val="center"/>
              <w:rPr>
                <w:b/>
                <w:bCs/>
                <w:sz w:val="18"/>
                <w:szCs w:val="18"/>
              </w:rPr>
            </w:pPr>
            <w:r>
              <w:rPr>
                <w:b/>
                <w:bCs/>
                <w:sz w:val="18"/>
                <w:szCs w:val="18"/>
              </w:rPr>
              <w:t>Inherent risk</w:t>
            </w:r>
          </w:p>
        </w:tc>
        <w:tc>
          <w:tcPr>
            <w:tcW w:w="686" w:type="pct"/>
            <w:gridSpan w:val="3"/>
            <w:vMerge w:val="restart"/>
            <w:shd w:val="clear" w:color="auto" w:fill="CAEDFB" w:themeFill="accent4" w:themeFillTint="33"/>
            <w:vAlign w:val="center"/>
          </w:tcPr>
          <w:p w14:paraId="4F061EB7" w14:textId="7EA6A116" w:rsidR="00CD0B50" w:rsidRPr="007754D0" w:rsidRDefault="006148B5">
            <w:pPr>
              <w:pStyle w:val="TableStyle"/>
              <w:jc w:val="center"/>
              <w:rPr>
                <w:b/>
                <w:bCs/>
                <w:sz w:val="18"/>
                <w:szCs w:val="18"/>
              </w:rPr>
            </w:pPr>
            <w:r>
              <w:rPr>
                <w:b/>
                <w:bCs/>
                <w:sz w:val="18"/>
                <w:szCs w:val="18"/>
              </w:rPr>
              <w:t>Post closure</w:t>
            </w:r>
            <w:r w:rsidR="00CD0B50" w:rsidRPr="007754D0">
              <w:rPr>
                <w:b/>
                <w:bCs/>
                <w:sz w:val="18"/>
                <w:szCs w:val="18"/>
              </w:rPr>
              <w:t xml:space="preserve"> controls</w:t>
            </w:r>
          </w:p>
        </w:tc>
        <w:tc>
          <w:tcPr>
            <w:tcW w:w="1150" w:type="pct"/>
            <w:gridSpan w:val="10"/>
            <w:shd w:val="clear" w:color="auto" w:fill="CAEDFB" w:themeFill="accent4" w:themeFillTint="33"/>
            <w:vAlign w:val="center"/>
          </w:tcPr>
          <w:p w14:paraId="38D53D41" w14:textId="77777777" w:rsidR="00CD0B50" w:rsidRDefault="00CD0B50">
            <w:pPr>
              <w:pStyle w:val="TableStyle"/>
              <w:jc w:val="center"/>
              <w:rPr>
                <w:b/>
                <w:bCs/>
                <w:sz w:val="18"/>
                <w:szCs w:val="18"/>
              </w:rPr>
            </w:pPr>
            <w:r>
              <w:rPr>
                <w:b/>
                <w:bCs/>
                <w:sz w:val="18"/>
                <w:szCs w:val="18"/>
              </w:rPr>
              <w:t>Residual risk</w:t>
            </w:r>
          </w:p>
        </w:tc>
        <w:tc>
          <w:tcPr>
            <w:tcW w:w="474" w:type="pct"/>
            <w:vMerge w:val="restart"/>
            <w:shd w:val="clear" w:color="auto" w:fill="CAEDFB" w:themeFill="accent4" w:themeFillTint="33"/>
            <w:vAlign w:val="center"/>
          </w:tcPr>
          <w:p w14:paraId="679BBA3B" w14:textId="77777777" w:rsidR="00CD0B50" w:rsidRPr="007754D0" w:rsidRDefault="00CD0B50">
            <w:pPr>
              <w:pStyle w:val="TableStyle"/>
              <w:rPr>
                <w:b/>
                <w:bCs/>
                <w:sz w:val="18"/>
                <w:szCs w:val="18"/>
              </w:rPr>
            </w:pPr>
            <w:r w:rsidRPr="007754D0">
              <w:rPr>
                <w:b/>
                <w:bCs/>
                <w:sz w:val="18"/>
                <w:szCs w:val="18"/>
              </w:rPr>
              <w:t xml:space="preserve">Further work required to improve </w:t>
            </w:r>
            <w:r>
              <w:rPr>
                <w:b/>
                <w:bCs/>
                <w:sz w:val="18"/>
                <w:szCs w:val="18"/>
              </w:rPr>
              <w:t>confidence</w:t>
            </w:r>
            <w:r w:rsidRPr="007754D0">
              <w:rPr>
                <w:b/>
                <w:bCs/>
                <w:sz w:val="18"/>
                <w:szCs w:val="18"/>
              </w:rPr>
              <w:t xml:space="preserve"> </w:t>
            </w:r>
          </w:p>
        </w:tc>
        <w:tc>
          <w:tcPr>
            <w:tcW w:w="386" w:type="pct"/>
            <w:vMerge w:val="restart"/>
            <w:shd w:val="clear" w:color="auto" w:fill="CAEDFB" w:themeFill="accent4" w:themeFillTint="33"/>
            <w:vAlign w:val="center"/>
          </w:tcPr>
          <w:p w14:paraId="5C445E8C" w14:textId="77777777" w:rsidR="00CD0B50" w:rsidRDefault="00CD0B50">
            <w:pPr>
              <w:pStyle w:val="TableStyle"/>
              <w:rPr>
                <w:b/>
                <w:bCs/>
                <w:sz w:val="18"/>
                <w:szCs w:val="18"/>
              </w:rPr>
            </w:pPr>
            <w:r>
              <w:rPr>
                <w:b/>
                <w:bCs/>
                <w:sz w:val="18"/>
                <w:szCs w:val="18"/>
              </w:rPr>
              <w:t>Estimated timeframe / milestone delivery date</w:t>
            </w:r>
          </w:p>
        </w:tc>
      </w:tr>
      <w:tr w:rsidR="00DD20BD" w:rsidRPr="00B15F54" w14:paraId="1808DCEC" w14:textId="77777777" w:rsidTr="00942C42">
        <w:trPr>
          <w:cantSplit/>
          <w:trHeight w:val="211"/>
        </w:trPr>
        <w:tc>
          <w:tcPr>
            <w:tcW w:w="123" w:type="pct"/>
            <w:vMerge/>
            <w:shd w:val="clear" w:color="auto" w:fill="CAEDFB" w:themeFill="accent4" w:themeFillTint="33"/>
            <w:textDirection w:val="tbRl"/>
            <w:vAlign w:val="center"/>
          </w:tcPr>
          <w:p w14:paraId="08709D0A" w14:textId="77777777" w:rsidR="00CD0B50" w:rsidRPr="007754D0" w:rsidRDefault="00CD0B50">
            <w:pPr>
              <w:pStyle w:val="TableStyle"/>
              <w:ind w:left="113" w:right="113"/>
              <w:rPr>
                <w:b/>
                <w:bCs/>
                <w:sz w:val="18"/>
                <w:szCs w:val="18"/>
              </w:rPr>
            </w:pPr>
          </w:p>
        </w:tc>
        <w:tc>
          <w:tcPr>
            <w:tcW w:w="624" w:type="pct"/>
            <w:gridSpan w:val="3"/>
            <w:vMerge/>
            <w:shd w:val="clear" w:color="auto" w:fill="CAEDFB" w:themeFill="accent4" w:themeFillTint="33"/>
            <w:vAlign w:val="center"/>
          </w:tcPr>
          <w:p w14:paraId="634545C6" w14:textId="77777777" w:rsidR="00CD0B50" w:rsidRPr="007754D0" w:rsidRDefault="00CD0B50">
            <w:pPr>
              <w:pStyle w:val="TableStyle"/>
              <w:jc w:val="center"/>
              <w:rPr>
                <w:b/>
                <w:bCs/>
                <w:sz w:val="18"/>
                <w:szCs w:val="18"/>
              </w:rPr>
            </w:pPr>
          </w:p>
        </w:tc>
        <w:tc>
          <w:tcPr>
            <w:tcW w:w="439" w:type="pct"/>
            <w:vMerge/>
            <w:shd w:val="clear" w:color="auto" w:fill="CAEDFB" w:themeFill="accent4" w:themeFillTint="33"/>
            <w:vAlign w:val="center"/>
          </w:tcPr>
          <w:p w14:paraId="73929F28" w14:textId="77777777" w:rsidR="00CD0B50" w:rsidRPr="007754D0" w:rsidRDefault="00CD0B50">
            <w:pPr>
              <w:pStyle w:val="TableStyle"/>
              <w:rPr>
                <w:b/>
                <w:bCs/>
                <w:sz w:val="18"/>
                <w:szCs w:val="18"/>
              </w:rPr>
            </w:pPr>
          </w:p>
        </w:tc>
        <w:tc>
          <w:tcPr>
            <w:tcW w:w="106" w:type="pct"/>
            <w:vMerge w:val="restart"/>
            <w:shd w:val="clear" w:color="auto" w:fill="CAEDFB" w:themeFill="accent4" w:themeFillTint="33"/>
            <w:textDirection w:val="tbRl"/>
            <w:vAlign w:val="center"/>
          </w:tcPr>
          <w:p w14:paraId="5AF0C6C1" w14:textId="77777777" w:rsidR="00CD0B50" w:rsidRPr="00942C42" w:rsidRDefault="00CD0B50">
            <w:pPr>
              <w:pStyle w:val="TableStyle"/>
              <w:ind w:left="113" w:right="113"/>
              <w:rPr>
                <w:b/>
                <w:bCs/>
                <w:sz w:val="16"/>
                <w:szCs w:val="16"/>
              </w:rPr>
            </w:pPr>
            <w:r w:rsidRPr="00942C42">
              <w:rPr>
                <w:b/>
                <w:bCs/>
                <w:sz w:val="16"/>
                <w:szCs w:val="16"/>
              </w:rPr>
              <w:t>Likelihood</w:t>
            </w:r>
          </w:p>
        </w:tc>
        <w:tc>
          <w:tcPr>
            <w:tcW w:w="920" w:type="pct"/>
            <w:gridSpan w:val="8"/>
            <w:shd w:val="clear" w:color="auto" w:fill="CAEDFB" w:themeFill="accent4" w:themeFillTint="33"/>
            <w:vAlign w:val="center"/>
          </w:tcPr>
          <w:p w14:paraId="6205B274" w14:textId="292D7E29" w:rsidR="00CD0B50" w:rsidRPr="00942C42" w:rsidRDefault="00CD0B50">
            <w:pPr>
              <w:pStyle w:val="TableStyle"/>
              <w:jc w:val="center"/>
              <w:rPr>
                <w:b/>
                <w:bCs/>
                <w:sz w:val="16"/>
                <w:szCs w:val="16"/>
              </w:rPr>
            </w:pPr>
            <w:r w:rsidRPr="00942C42">
              <w:rPr>
                <w:b/>
                <w:bCs/>
                <w:sz w:val="16"/>
                <w:szCs w:val="16"/>
              </w:rPr>
              <w:t>Consequence categories</w:t>
            </w:r>
            <w:r w:rsidR="008A285C" w:rsidRPr="00942C42">
              <w:rPr>
                <w:b/>
                <w:bCs/>
                <w:sz w:val="16"/>
                <w:szCs w:val="16"/>
              </w:rPr>
              <w:t xml:space="preserve"> </w:t>
            </w:r>
          </w:p>
        </w:tc>
        <w:tc>
          <w:tcPr>
            <w:tcW w:w="93" w:type="pct"/>
            <w:vMerge w:val="restart"/>
            <w:shd w:val="clear" w:color="auto" w:fill="CAEDFB" w:themeFill="accent4" w:themeFillTint="33"/>
            <w:textDirection w:val="tbRl"/>
            <w:vAlign w:val="center"/>
          </w:tcPr>
          <w:p w14:paraId="0F9BEBE7" w14:textId="0694F1D8" w:rsidR="00CD0B50" w:rsidRPr="00942C42" w:rsidRDefault="00CD0B50">
            <w:pPr>
              <w:pStyle w:val="TableStyle"/>
              <w:ind w:left="113" w:right="113"/>
              <w:rPr>
                <w:b/>
                <w:bCs/>
                <w:sz w:val="16"/>
                <w:szCs w:val="16"/>
              </w:rPr>
            </w:pPr>
            <w:r w:rsidRPr="00942C42">
              <w:rPr>
                <w:b/>
                <w:bCs/>
                <w:sz w:val="16"/>
                <w:szCs w:val="16"/>
              </w:rPr>
              <w:t>Confidence</w:t>
            </w:r>
            <w:r w:rsidR="00C01395" w:rsidRPr="00942C42">
              <w:rPr>
                <w:b/>
                <w:bCs/>
                <w:sz w:val="16"/>
                <w:szCs w:val="16"/>
              </w:rPr>
              <w:t xml:space="preserve"> Level</w:t>
            </w:r>
          </w:p>
        </w:tc>
        <w:tc>
          <w:tcPr>
            <w:tcW w:w="686" w:type="pct"/>
            <w:gridSpan w:val="3"/>
            <w:vMerge/>
            <w:shd w:val="clear" w:color="auto" w:fill="CAEDFB" w:themeFill="accent4" w:themeFillTint="33"/>
            <w:vAlign w:val="center"/>
          </w:tcPr>
          <w:p w14:paraId="6BB5B5A3" w14:textId="77777777" w:rsidR="00CD0B50" w:rsidRPr="007754D0" w:rsidRDefault="00CD0B50">
            <w:pPr>
              <w:pStyle w:val="TableStyle"/>
              <w:jc w:val="center"/>
              <w:rPr>
                <w:b/>
                <w:bCs/>
                <w:sz w:val="18"/>
                <w:szCs w:val="18"/>
              </w:rPr>
            </w:pPr>
          </w:p>
        </w:tc>
        <w:tc>
          <w:tcPr>
            <w:tcW w:w="115" w:type="pct"/>
            <w:vMerge w:val="restart"/>
            <w:shd w:val="clear" w:color="auto" w:fill="CAEDFB" w:themeFill="accent4" w:themeFillTint="33"/>
            <w:textDirection w:val="tbRl"/>
            <w:vAlign w:val="center"/>
          </w:tcPr>
          <w:p w14:paraId="35061B50" w14:textId="77777777" w:rsidR="00CD0B50" w:rsidRPr="00942C42" w:rsidRDefault="00CD0B50">
            <w:pPr>
              <w:pStyle w:val="TableStyle"/>
              <w:ind w:left="113" w:right="113"/>
              <w:rPr>
                <w:b/>
                <w:bCs/>
                <w:sz w:val="16"/>
                <w:szCs w:val="16"/>
              </w:rPr>
            </w:pPr>
            <w:r w:rsidRPr="00942C42">
              <w:rPr>
                <w:b/>
                <w:bCs/>
                <w:sz w:val="16"/>
                <w:szCs w:val="16"/>
              </w:rPr>
              <w:t>Likelihood</w:t>
            </w:r>
          </w:p>
        </w:tc>
        <w:tc>
          <w:tcPr>
            <w:tcW w:w="920" w:type="pct"/>
            <w:gridSpan w:val="8"/>
            <w:shd w:val="clear" w:color="auto" w:fill="CAEDFB" w:themeFill="accent4" w:themeFillTint="33"/>
            <w:vAlign w:val="center"/>
          </w:tcPr>
          <w:p w14:paraId="46529185" w14:textId="77777777" w:rsidR="00CD0B50" w:rsidRPr="00942C42" w:rsidRDefault="00CD0B50">
            <w:pPr>
              <w:pStyle w:val="TableStyle"/>
              <w:jc w:val="center"/>
              <w:rPr>
                <w:b/>
                <w:bCs/>
                <w:sz w:val="16"/>
                <w:szCs w:val="16"/>
              </w:rPr>
            </w:pPr>
            <w:r w:rsidRPr="00942C42">
              <w:rPr>
                <w:b/>
                <w:bCs/>
                <w:sz w:val="16"/>
                <w:szCs w:val="16"/>
              </w:rPr>
              <w:t>Consequence categories</w:t>
            </w:r>
          </w:p>
        </w:tc>
        <w:tc>
          <w:tcPr>
            <w:tcW w:w="115" w:type="pct"/>
            <w:vMerge w:val="restart"/>
            <w:shd w:val="clear" w:color="auto" w:fill="CAEDFB" w:themeFill="accent4" w:themeFillTint="33"/>
            <w:textDirection w:val="tbRl"/>
            <w:vAlign w:val="center"/>
          </w:tcPr>
          <w:p w14:paraId="68A583C4" w14:textId="4E03184A" w:rsidR="00CD0B50" w:rsidRPr="00942C42" w:rsidRDefault="00CD0B50">
            <w:pPr>
              <w:pStyle w:val="TableStyle"/>
              <w:ind w:left="113" w:right="113"/>
              <w:rPr>
                <w:b/>
                <w:bCs/>
                <w:sz w:val="16"/>
                <w:szCs w:val="16"/>
              </w:rPr>
            </w:pPr>
            <w:r w:rsidRPr="00942C42">
              <w:rPr>
                <w:b/>
                <w:bCs/>
                <w:sz w:val="16"/>
                <w:szCs w:val="16"/>
              </w:rPr>
              <w:t>Confidence</w:t>
            </w:r>
            <w:r w:rsidR="00C01395" w:rsidRPr="00942C42">
              <w:rPr>
                <w:b/>
                <w:bCs/>
                <w:sz w:val="16"/>
                <w:szCs w:val="16"/>
              </w:rPr>
              <w:t xml:space="preserve"> Level</w:t>
            </w:r>
          </w:p>
        </w:tc>
        <w:tc>
          <w:tcPr>
            <w:tcW w:w="474" w:type="pct"/>
            <w:vMerge/>
            <w:shd w:val="clear" w:color="auto" w:fill="CAEDFB" w:themeFill="accent4" w:themeFillTint="33"/>
            <w:vAlign w:val="center"/>
          </w:tcPr>
          <w:p w14:paraId="30BCD7FC" w14:textId="77777777" w:rsidR="00CD0B50" w:rsidRPr="007754D0" w:rsidRDefault="00CD0B50">
            <w:pPr>
              <w:pStyle w:val="TableStyle"/>
              <w:rPr>
                <w:b/>
                <w:bCs/>
                <w:sz w:val="18"/>
                <w:szCs w:val="18"/>
              </w:rPr>
            </w:pPr>
          </w:p>
        </w:tc>
        <w:tc>
          <w:tcPr>
            <w:tcW w:w="386" w:type="pct"/>
            <w:vMerge/>
            <w:shd w:val="clear" w:color="auto" w:fill="CAEDFB" w:themeFill="accent4" w:themeFillTint="33"/>
            <w:vAlign w:val="center"/>
          </w:tcPr>
          <w:p w14:paraId="57B6B9F5" w14:textId="77777777" w:rsidR="00CD0B50" w:rsidRPr="007754D0" w:rsidRDefault="00CD0B50">
            <w:pPr>
              <w:pStyle w:val="TableStyle"/>
              <w:rPr>
                <w:b/>
                <w:bCs/>
                <w:sz w:val="18"/>
                <w:szCs w:val="18"/>
              </w:rPr>
            </w:pPr>
          </w:p>
        </w:tc>
      </w:tr>
      <w:tr w:rsidR="00DD20BD" w:rsidRPr="00B15F54" w14:paraId="3C1F518F" w14:textId="77777777" w:rsidTr="00942C42">
        <w:trPr>
          <w:trHeight w:val="1414"/>
        </w:trPr>
        <w:tc>
          <w:tcPr>
            <w:tcW w:w="123" w:type="pct"/>
            <w:vMerge/>
            <w:shd w:val="clear" w:color="auto" w:fill="CAEDFB" w:themeFill="accent4" w:themeFillTint="33"/>
            <w:textDirection w:val="tbRl"/>
            <w:vAlign w:val="center"/>
          </w:tcPr>
          <w:p w14:paraId="2710194F" w14:textId="77777777" w:rsidR="00E20E2B" w:rsidRPr="007754D0" w:rsidRDefault="00E20E2B" w:rsidP="00732495">
            <w:pPr>
              <w:pStyle w:val="TableStyle"/>
              <w:spacing w:before="0"/>
              <w:ind w:left="113" w:right="113"/>
              <w:rPr>
                <w:b/>
                <w:bCs/>
                <w:sz w:val="18"/>
                <w:szCs w:val="18"/>
              </w:rPr>
            </w:pPr>
          </w:p>
        </w:tc>
        <w:tc>
          <w:tcPr>
            <w:tcW w:w="113" w:type="pct"/>
            <w:shd w:val="clear" w:color="auto" w:fill="CAEDFB" w:themeFill="accent4" w:themeFillTint="33"/>
            <w:textDirection w:val="tbRl"/>
            <w:vAlign w:val="center"/>
          </w:tcPr>
          <w:p w14:paraId="2FA7C1CB" w14:textId="77777777" w:rsidR="00E20E2B" w:rsidRPr="00942C42" w:rsidRDefault="00E20E2B" w:rsidP="00732495">
            <w:pPr>
              <w:pStyle w:val="TableStyle"/>
              <w:spacing w:before="0"/>
              <w:ind w:left="113" w:right="113"/>
              <w:rPr>
                <w:b/>
                <w:bCs/>
                <w:sz w:val="16"/>
                <w:szCs w:val="16"/>
              </w:rPr>
            </w:pPr>
            <w:r w:rsidRPr="00942C42">
              <w:rPr>
                <w:b/>
                <w:bCs/>
                <w:sz w:val="16"/>
                <w:szCs w:val="16"/>
              </w:rPr>
              <w:t>Domain</w:t>
            </w:r>
          </w:p>
        </w:tc>
        <w:tc>
          <w:tcPr>
            <w:tcW w:w="301" w:type="pct"/>
            <w:shd w:val="clear" w:color="auto" w:fill="CAEDFB" w:themeFill="accent4" w:themeFillTint="33"/>
            <w:textDirection w:val="tbRl"/>
            <w:vAlign w:val="center"/>
          </w:tcPr>
          <w:p w14:paraId="51C25745" w14:textId="77777777" w:rsidR="00E20E2B" w:rsidRPr="00942C42" w:rsidRDefault="00E20E2B" w:rsidP="00732495">
            <w:pPr>
              <w:pStyle w:val="TableStyle"/>
              <w:spacing w:before="0"/>
              <w:ind w:left="113" w:right="113"/>
              <w:rPr>
                <w:b/>
                <w:bCs/>
                <w:sz w:val="16"/>
                <w:szCs w:val="16"/>
              </w:rPr>
            </w:pPr>
            <w:r w:rsidRPr="00942C42">
              <w:rPr>
                <w:b/>
                <w:bCs/>
                <w:sz w:val="16"/>
                <w:szCs w:val="16"/>
              </w:rPr>
              <w:t>Failure mode description</w:t>
            </w:r>
          </w:p>
        </w:tc>
        <w:tc>
          <w:tcPr>
            <w:tcW w:w="210" w:type="pct"/>
            <w:shd w:val="clear" w:color="auto" w:fill="CAEDFB" w:themeFill="accent4" w:themeFillTint="33"/>
            <w:textDirection w:val="tbRl"/>
            <w:vAlign w:val="center"/>
          </w:tcPr>
          <w:p w14:paraId="279AD9B2" w14:textId="77777777" w:rsidR="00E20E2B" w:rsidRPr="00942C42" w:rsidRDefault="00E20E2B" w:rsidP="00732495">
            <w:pPr>
              <w:pStyle w:val="TableStyle"/>
              <w:spacing w:before="0"/>
              <w:ind w:left="113" w:right="113"/>
              <w:rPr>
                <w:b/>
                <w:bCs/>
                <w:sz w:val="16"/>
                <w:szCs w:val="16"/>
              </w:rPr>
            </w:pPr>
            <w:r w:rsidRPr="00942C42">
              <w:rPr>
                <w:b/>
                <w:bCs/>
                <w:sz w:val="16"/>
                <w:szCs w:val="16"/>
              </w:rPr>
              <w:t>Effects and pathway</w:t>
            </w:r>
          </w:p>
        </w:tc>
        <w:tc>
          <w:tcPr>
            <w:tcW w:w="439" w:type="pct"/>
            <w:vMerge/>
            <w:shd w:val="clear" w:color="auto" w:fill="CAEDFB" w:themeFill="accent4" w:themeFillTint="33"/>
            <w:textDirection w:val="tbRl"/>
            <w:vAlign w:val="center"/>
          </w:tcPr>
          <w:p w14:paraId="7A9E3D27" w14:textId="77777777" w:rsidR="00E20E2B" w:rsidRPr="007754D0" w:rsidRDefault="00E20E2B" w:rsidP="00732495">
            <w:pPr>
              <w:pStyle w:val="TableStyle"/>
              <w:spacing w:before="0"/>
              <w:ind w:left="113" w:right="113"/>
              <w:rPr>
                <w:b/>
                <w:bCs/>
                <w:sz w:val="18"/>
                <w:szCs w:val="18"/>
              </w:rPr>
            </w:pPr>
          </w:p>
        </w:tc>
        <w:tc>
          <w:tcPr>
            <w:tcW w:w="106" w:type="pct"/>
            <w:vMerge/>
            <w:shd w:val="clear" w:color="auto" w:fill="CAEDFB" w:themeFill="accent4" w:themeFillTint="33"/>
            <w:textDirection w:val="tbRl"/>
            <w:vAlign w:val="center"/>
          </w:tcPr>
          <w:p w14:paraId="239D09EA" w14:textId="77777777" w:rsidR="00E20E2B" w:rsidRPr="007754D0" w:rsidRDefault="00E20E2B" w:rsidP="00732495">
            <w:pPr>
              <w:pStyle w:val="TableStyle"/>
              <w:spacing w:before="0"/>
              <w:ind w:left="113" w:right="113"/>
              <w:rPr>
                <w:b/>
                <w:bCs/>
                <w:sz w:val="18"/>
                <w:szCs w:val="18"/>
              </w:rPr>
            </w:pPr>
          </w:p>
        </w:tc>
        <w:tc>
          <w:tcPr>
            <w:tcW w:w="115" w:type="pct"/>
            <w:shd w:val="clear" w:color="auto" w:fill="CAEDFB" w:themeFill="accent4" w:themeFillTint="33"/>
            <w:textDirection w:val="tbRl"/>
            <w:vAlign w:val="center"/>
          </w:tcPr>
          <w:p w14:paraId="5A921C84" w14:textId="4A6D4D0F" w:rsidR="00E20E2B" w:rsidRPr="00DD20BD" w:rsidRDefault="005F6768" w:rsidP="00F7465B">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1 </w:t>
            </w:r>
          </w:p>
        </w:tc>
        <w:tc>
          <w:tcPr>
            <w:tcW w:w="115" w:type="pct"/>
            <w:shd w:val="clear" w:color="auto" w:fill="CAEDFB" w:themeFill="accent4" w:themeFillTint="33"/>
            <w:textDirection w:val="tbRl"/>
            <w:vAlign w:val="center"/>
          </w:tcPr>
          <w:p w14:paraId="325CCADF" w14:textId="77777777" w:rsidR="00E20E2B" w:rsidRPr="00DD20BD" w:rsidRDefault="00E20E2B" w:rsidP="00F7465B">
            <w:pPr>
              <w:pStyle w:val="TableStyle"/>
              <w:spacing w:before="0"/>
              <w:ind w:left="113" w:right="113"/>
              <w:rPr>
                <w:b/>
                <w:bCs/>
                <w:sz w:val="16"/>
                <w:szCs w:val="16"/>
              </w:rPr>
            </w:pPr>
            <w:r w:rsidRPr="00DD20BD">
              <w:rPr>
                <w:b/>
                <w:bCs/>
                <w:sz w:val="16"/>
                <w:szCs w:val="16"/>
              </w:rPr>
              <w:t>Ranking 1</w:t>
            </w:r>
          </w:p>
        </w:tc>
        <w:tc>
          <w:tcPr>
            <w:tcW w:w="115" w:type="pct"/>
            <w:shd w:val="clear" w:color="auto" w:fill="CAEDFB" w:themeFill="accent4" w:themeFillTint="33"/>
            <w:textDirection w:val="tbRl"/>
            <w:vAlign w:val="center"/>
          </w:tcPr>
          <w:p w14:paraId="2CDF9B77" w14:textId="5E3211D6" w:rsidR="00E20E2B" w:rsidRPr="00DD20BD" w:rsidRDefault="005F6768" w:rsidP="00F7465B">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2 </w:t>
            </w:r>
          </w:p>
        </w:tc>
        <w:tc>
          <w:tcPr>
            <w:tcW w:w="115" w:type="pct"/>
            <w:shd w:val="clear" w:color="auto" w:fill="CAEDFB" w:themeFill="accent4" w:themeFillTint="33"/>
            <w:textDirection w:val="tbRl"/>
            <w:vAlign w:val="center"/>
          </w:tcPr>
          <w:p w14:paraId="195BDE87" w14:textId="77777777" w:rsidR="00E20E2B" w:rsidRPr="00942C42" w:rsidRDefault="00E20E2B" w:rsidP="00F7465B">
            <w:pPr>
              <w:pStyle w:val="TableStyle"/>
              <w:spacing w:before="0"/>
              <w:ind w:left="113" w:right="113"/>
              <w:rPr>
                <w:b/>
                <w:bCs/>
                <w:sz w:val="16"/>
                <w:szCs w:val="16"/>
              </w:rPr>
            </w:pPr>
            <w:r w:rsidRPr="00942C42">
              <w:rPr>
                <w:b/>
                <w:bCs/>
                <w:sz w:val="16"/>
                <w:szCs w:val="16"/>
              </w:rPr>
              <w:t>Ranking 2</w:t>
            </w:r>
          </w:p>
        </w:tc>
        <w:tc>
          <w:tcPr>
            <w:tcW w:w="115" w:type="pct"/>
            <w:shd w:val="clear" w:color="auto" w:fill="CAEDFB" w:themeFill="accent4" w:themeFillTint="33"/>
            <w:textDirection w:val="tbRl"/>
            <w:vAlign w:val="center"/>
          </w:tcPr>
          <w:p w14:paraId="7474A0A7" w14:textId="41E33355" w:rsidR="00E20E2B" w:rsidRPr="00942C42" w:rsidRDefault="005F6768" w:rsidP="00F7465B">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3 </w:t>
            </w:r>
          </w:p>
        </w:tc>
        <w:tc>
          <w:tcPr>
            <w:tcW w:w="115" w:type="pct"/>
            <w:shd w:val="clear" w:color="auto" w:fill="CAEDFB" w:themeFill="accent4" w:themeFillTint="33"/>
            <w:textDirection w:val="tbRl"/>
            <w:vAlign w:val="center"/>
          </w:tcPr>
          <w:p w14:paraId="39442F0A" w14:textId="77777777" w:rsidR="00E20E2B" w:rsidRPr="00942C42" w:rsidRDefault="00E20E2B" w:rsidP="00F7465B">
            <w:pPr>
              <w:pStyle w:val="TableStyle"/>
              <w:spacing w:before="0"/>
              <w:ind w:left="113" w:right="113"/>
              <w:rPr>
                <w:b/>
                <w:bCs/>
                <w:sz w:val="16"/>
                <w:szCs w:val="16"/>
              </w:rPr>
            </w:pPr>
            <w:r w:rsidRPr="00942C42">
              <w:rPr>
                <w:b/>
                <w:bCs/>
                <w:sz w:val="16"/>
                <w:szCs w:val="16"/>
              </w:rPr>
              <w:t>Ranking 3</w:t>
            </w:r>
          </w:p>
        </w:tc>
        <w:tc>
          <w:tcPr>
            <w:tcW w:w="115" w:type="pct"/>
            <w:shd w:val="clear" w:color="auto" w:fill="CAEDFB" w:themeFill="accent4" w:themeFillTint="33"/>
            <w:textDirection w:val="tbRl"/>
            <w:vAlign w:val="center"/>
          </w:tcPr>
          <w:p w14:paraId="07CD5C97" w14:textId="44350FA2" w:rsidR="00E20E2B" w:rsidRPr="00942C42" w:rsidRDefault="005F6768" w:rsidP="00F7465B">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4 </w:t>
            </w:r>
          </w:p>
        </w:tc>
        <w:tc>
          <w:tcPr>
            <w:tcW w:w="115" w:type="pct"/>
            <w:shd w:val="clear" w:color="auto" w:fill="CAEDFB" w:themeFill="accent4" w:themeFillTint="33"/>
            <w:textDirection w:val="tbRl"/>
            <w:vAlign w:val="center"/>
          </w:tcPr>
          <w:p w14:paraId="6C65CB0B" w14:textId="77777777" w:rsidR="00E20E2B" w:rsidRPr="00942C42" w:rsidRDefault="00E20E2B" w:rsidP="00F7465B">
            <w:pPr>
              <w:pStyle w:val="TableStyle"/>
              <w:spacing w:before="0"/>
              <w:ind w:left="113" w:right="113"/>
              <w:rPr>
                <w:b/>
                <w:bCs/>
                <w:sz w:val="16"/>
                <w:szCs w:val="16"/>
              </w:rPr>
            </w:pPr>
            <w:r w:rsidRPr="00942C42">
              <w:rPr>
                <w:b/>
                <w:bCs/>
                <w:sz w:val="16"/>
                <w:szCs w:val="16"/>
              </w:rPr>
              <w:t>Ranking 4</w:t>
            </w:r>
          </w:p>
        </w:tc>
        <w:tc>
          <w:tcPr>
            <w:tcW w:w="93" w:type="pct"/>
            <w:vMerge/>
            <w:shd w:val="clear" w:color="auto" w:fill="CAEDFB" w:themeFill="accent4" w:themeFillTint="33"/>
            <w:textDirection w:val="tbRl"/>
            <w:vAlign w:val="center"/>
          </w:tcPr>
          <w:p w14:paraId="182B5C0F" w14:textId="77777777" w:rsidR="00E20E2B" w:rsidRPr="007754D0" w:rsidRDefault="00E20E2B" w:rsidP="00732495">
            <w:pPr>
              <w:pStyle w:val="TableStyle"/>
              <w:spacing w:before="0"/>
              <w:ind w:left="113" w:right="113"/>
              <w:rPr>
                <w:b/>
                <w:bCs/>
                <w:sz w:val="18"/>
                <w:szCs w:val="18"/>
              </w:rPr>
            </w:pPr>
          </w:p>
        </w:tc>
        <w:tc>
          <w:tcPr>
            <w:tcW w:w="279" w:type="pct"/>
            <w:shd w:val="clear" w:color="auto" w:fill="CAEDFB" w:themeFill="accent4" w:themeFillTint="33"/>
            <w:textDirection w:val="tbRl"/>
            <w:vAlign w:val="center"/>
          </w:tcPr>
          <w:p w14:paraId="5277770D" w14:textId="77777777" w:rsidR="00E20E2B" w:rsidRPr="00942C42" w:rsidRDefault="00E20E2B" w:rsidP="00732495">
            <w:pPr>
              <w:pStyle w:val="TableStyle"/>
              <w:spacing w:before="0"/>
              <w:ind w:left="113" w:right="113"/>
              <w:rPr>
                <w:b/>
                <w:bCs/>
                <w:sz w:val="16"/>
                <w:szCs w:val="16"/>
              </w:rPr>
            </w:pPr>
            <w:r w:rsidRPr="00942C42">
              <w:rPr>
                <w:b/>
                <w:bCs/>
                <w:sz w:val="16"/>
                <w:szCs w:val="16"/>
              </w:rPr>
              <w:t>Controls</w:t>
            </w:r>
          </w:p>
        </w:tc>
        <w:tc>
          <w:tcPr>
            <w:tcW w:w="237" w:type="pct"/>
            <w:shd w:val="clear" w:color="auto" w:fill="CAEDFB" w:themeFill="accent4" w:themeFillTint="33"/>
            <w:textDirection w:val="tbRl"/>
            <w:vAlign w:val="center"/>
          </w:tcPr>
          <w:p w14:paraId="4C1F1220" w14:textId="77777777" w:rsidR="00E20E2B" w:rsidRPr="00942C42" w:rsidRDefault="00E20E2B" w:rsidP="00732495">
            <w:pPr>
              <w:pStyle w:val="TableStyle"/>
              <w:spacing w:before="0"/>
              <w:ind w:left="113" w:right="113"/>
              <w:rPr>
                <w:b/>
                <w:bCs/>
                <w:sz w:val="16"/>
                <w:szCs w:val="16"/>
              </w:rPr>
            </w:pPr>
            <w:r w:rsidRPr="00942C42">
              <w:rPr>
                <w:b/>
                <w:bCs/>
                <w:sz w:val="16"/>
                <w:szCs w:val="16"/>
              </w:rPr>
              <w:t>Relevant control plan or procedure</w:t>
            </w:r>
          </w:p>
        </w:tc>
        <w:tc>
          <w:tcPr>
            <w:tcW w:w="170" w:type="pct"/>
            <w:shd w:val="clear" w:color="auto" w:fill="CAEDFB" w:themeFill="accent4" w:themeFillTint="33"/>
            <w:textDirection w:val="tbRl"/>
            <w:vAlign w:val="center"/>
          </w:tcPr>
          <w:p w14:paraId="5F073EBF" w14:textId="77777777" w:rsidR="00E20E2B" w:rsidRPr="00942C42" w:rsidRDefault="00E20E2B" w:rsidP="00732495">
            <w:pPr>
              <w:pStyle w:val="TableStyle"/>
              <w:spacing w:before="0"/>
              <w:ind w:left="113" w:right="113"/>
              <w:rPr>
                <w:b/>
                <w:bCs/>
                <w:sz w:val="16"/>
                <w:szCs w:val="16"/>
              </w:rPr>
            </w:pPr>
            <w:r w:rsidRPr="00942C42">
              <w:rPr>
                <w:b/>
                <w:bCs/>
                <w:sz w:val="16"/>
                <w:szCs w:val="16"/>
              </w:rPr>
              <w:t>Confidence</w:t>
            </w:r>
          </w:p>
        </w:tc>
        <w:tc>
          <w:tcPr>
            <w:tcW w:w="115" w:type="pct"/>
            <w:vMerge/>
            <w:shd w:val="clear" w:color="auto" w:fill="CAEDFB" w:themeFill="accent4" w:themeFillTint="33"/>
            <w:textDirection w:val="tbRl"/>
            <w:vAlign w:val="center"/>
          </w:tcPr>
          <w:p w14:paraId="33FF1F85" w14:textId="77777777" w:rsidR="00E20E2B" w:rsidRPr="007754D0" w:rsidRDefault="00E20E2B" w:rsidP="00732495">
            <w:pPr>
              <w:pStyle w:val="TableStyle"/>
              <w:spacing w:before="0"/>
              <w:ind w:left="113" w:right="113"/>
              <w:rPr>
                <w:b/>
                <w:bCs/>
                <w:sz w:val="18"/>
                <w:szCs w:val="18"/>
              </w:rPr>
            </w:pPr>
          </w:p>
        </w:tc>
        <w:tc>
          <w:tcPr>
            <w:tcW w:w="115" w:type="pct"/>
            <w:shd w:val="clear" w:color="auto" w:fill="CAEDFB" w:themeFill="accent4" w:themeFillTint="33"/>
            <w:textDirection w:val="tbRl"/>
            <w:vAlign w:val="center"/>
          </w:tcPr>
          <w:p w14:paraId="5D690E00" w14:textId="42A585D4" w:rsidR="00E20E2B" w:rsidRPr="00942C42" w:rsidRDefault="005F6768" w:rsidP="00732495">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1 </w:t>
            </w:r>
          </w:p>
        </w:tc>
        <w:tc>
          <w:tcPr>
            <w:tcW w:w="115" w:type="pct"/>
            <w:shd w:val="clear" w:color="auto" w:fill="CAEDFB" w:themeFill="accent4" w:themeFillTint="33"/>
            <w:textDirection w:val="tbRl"/>
            <w:vAlign w:val="center"/>
          </w:tcPr>
          <w:p w14:paraId="224B0A4A" w14:textId="77777777" w:rsidR="00E20E2B" w:rsidRPr="00942C42" w:rsidRDefault="00E20E2B" w:rsidP="00732495">
            <w:pPr>
              <w:pStyle w:val="TableStyle"/>
              <w:spacing w:before="0"/>
              <w:ind w:left="113" w:right="113"/>
              <w:rPr>
                <w:b/>
                <w:bCs/>
                <w:sz w:val="16"/>
                <w:szCs w:val="16"/>
              </w:rPr>
            </w:pPr>
            <w:r w:rsidRPr="00942C42">
              <w:rPr>
                <w:b/>
                <w:bCs/>
                <w:sz w:val="16"/>
                <w:szCs w:val="16"/>
              </w:rPr>
              <w:t>Ranking 1</w:t>
            </w:r>
          </w:p>
        </w:tc>
        <w:tc>
          <w:tcPr>
            <w:tcW w:w="115" w:type="pct"/>
            <w:shd w:val="clear" w:color="auto" w:fill="CAEDFB" w:themeFill="accent4" w:themeFillTint="33"/>
            <w:textDirection w:val="tbRl"/>
            <w:vAlign w:val="center"/>
          </w:tcPr>
          <w:p w14:paraId="33D68F20" w14:textId="630BF6E5" w:rsidR="00E20E2B" w:rsidRPr="00942C42" w:rsidRDefault="005F6768" w:rsidP="00732495">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2 </w:t>
            </w:r>
          </w:p>
        </w:tc>
        <w:tc>
          <w:tcPr>
            <w:tcW w:w="115" w:type="pct"/>
            <w:shd w:val="clear" w:color="auto" w:fill="CAEDFB" w:themeFill="accent4" w:themeFillTint="33"/>
            <w:textDirection w:val="tbRl"/>
            <w:vAlign w:val="center"/>
          </w:tcPr>
          <w:p w14:paraId="493D9B16" w14:textId="77777777" w:rsidR="00E20E2B" w:rsidRPr="00942C42" w:rsidRDefault="00E20E2B" w:rsidP="00732495">
            <w:pPr>
              <w:pStyle w:val="TableStyle"/>
              <w:spacing w:before="0"/>
              <w:ind w:left="113" w:right="113"/>
              <w:rPr>
                <w:b/>
                <w:bCs/>
                <w:sz w:val="16"/>
                <w:szCs w:val="16"/>
              </w:rPr>
            </w:pPr>
            <w:r w:rsidRPr="00942C42">
              <w:rPr>
                <w:b/>
                <w:bCs/>
                <w:sz w:val="16"/>
                <w:szCs w:val="16"/>
              </w:rPr>
              <w:t>Ranking 2</w:t>
            </w:r>
          </w:p>
        </w:tc>
        <w:tc>
          <w:tcPr>
            <w:tcW w:w="115" w:type="pct"/>
            <w:shd w:val="clear" w:color="auto" w:fill="CAEDFB" w:themeFill="accent4" w:themeFillTint="33"/>
            <w:textDirection w:val="tbRl"/>
            <w:vAlign w:val="center"/>
          </w:tcPr>
          <w:p w14:paraId="5B737A60" w14:textId="5D0BAA13" w:rsidR="00E20E2B" w:rsidRPr="00942C42" w:rsidRDefault="005F6768" w:rsidP="00732495">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3 </w:t>
            </w:r>
          </w:p>
        </w:tc>
        <w:tc>
          <w:tcPr>
            <w:tcW w:w="115" w:type="pct"/>
            <w:shd w:val="clear" w:color="auto" w:fill="CAEDFB" w:themeFill="accent4" w:themeFillTint="33"/>
            <w:textDirection w:val="tbRl"/>
            <w:vAlign w:val="center"/>
          </w:tcPr>
          <w:p w14:paraId="782A977A" w14:textId="77777777" w:rsidR="00E20E2B" w:rsidRPr="00942C42" w:rsidRDefault="00E20E2B" w:rsidP="00732495">
            <w:pPr>
              <w:pStyle w:val="TableStyle"/>
              <w:spacing w:before="0"/>
              <w:ind w:left="113" w:right="113"/>
              <w:rPr>
                <w:b/>
                <w:bCs/>
                <w:sz w:val="16"/>
                <w:szCs w:val="16"/>
              </w:rPr>
            </w:pPr>
            <w:r w:rsidRPr="00942C42">
              <w:rPr>
                <w:b/>
                <w:bCs/>
                <w:sz w:val="16"/>
                <w:szCs w:val="16"/>
              </w:rPr>
              <w:t>Ranking 3</w:t>
            </w:r>
          </w:p>
        </w:tc>
        <w:tc>
          <w:tcPr>
            <w:tcW w:w="115" w:type="pct"/>
            <w:shd w:val="clear" w:color="auto" w:fill="CAEDFB" w:themeFill="accent4" w:themeFillTint="33"/>
            <w:textDirection w:val="tbRl"/>
            <w:vAlign w:val="center"/>
          </w:tcPr>
          <w:p w14:paraId="15022506" w14:textId="2388708C" w:rsidR="00E20E2B" w:rsidRPr="00942C42" w:rsidRDefault="005F6768" w:rsidP="00732495">
            <w:pPr>
              <w:pStyle w:val="TableStyle"/>
              <w:spacing w:before="0"/>
              <w:ind w:left="113" w:right="113"/>
              <w:rPr>
                <w:b/>
                <w:bCs/>
                <w:sz w:val="16"/>
                <w:szCs w:val="16"/>
              </w:rPr>
            </w:pPr>
            <w:r w:rsidRPr="00DD20BD">
              <w:rPr>
                <w:b/>
                <w:bCs/>
                <w:sz w:val="16"/>
                <w:szCs w:val="16"/>
              </w:rPr>
              <w:t>CC</w:t>
            </w:r>
            <w:r w:rsidR="00E20E2B" w:rsidRPr="00DD20BD">
              <w:rPr>
                <w:b/>
                <w:bCs/>
                <w:sz w:val="16"/>
                <w:szCs w:val="16"/>
              </w:rPr>
              <w:t xml:space="preserve"> 4 </w:t>
            </w:r>
          </w:p>
        </w:tc>
        <w:tc>
          <w:tcPr>
            <w:tcW w:w="115" w:type="pct"/>
            <w:shd w:val="clear" w:color="auto" w:fill="CAEDFB" w:themeFill="accent4" w:themeFillTint="33"/>
            <w:textDirection w:val="tbRl"/>
            <w:vAlign w:val="center"/>
          </w:tcPr>
          <w:p w14:paraId="0E531AD8" w14:textId="77777777" w:rsidR="00E20E2B" w:rsidRPr="00942C42" w:rsidRDefault="00E20E2B" w:rsidP="00732495">
            <w:pPr>
              <w:pStyle w:val="TableStyle"/>
              <w:spacing w:before="0"/>
              <w:ind w:left="113" w:right="113"/>
              <w:rPr>
                <w:b/>
                <w:bCs/>
                <w:sz w:val="16"/>
                <w:szCs w:val="16"/>
              </w:rPr>
            </w:pPr>
            <w:r w:rsidRPr="00942C42">
              <w:rPr>
                <w:b/>
                <w:bCs/>
                <w:sz w:val="16"/>
                <w:szCs w:val="16"/>
              </w:rPr>
              <w:t>Ranking 4</w:t>
            </w:r>
          </w:p>
        </w:tc>
        <w:tc>
          <w:tcPr>
            <w:tcW w:w="115" w:type="pct"/>
            <w:vMerge/>
            <w:shd w:val="clear" w:color="auto" w:fill="CAEDFB" w:themeFill="accent4" w:themeFillTint="33"/>
            <w:textDirection w:val="tbRl"/>
          </w:tcPr>
          <w:p w14:paraId="253984C5" w14:textId="77777777" w:rsidR="00E20E2B" w:rsidRPr="007754D0" w:rsidRDefault="00E20E2B" w:rsidP="00732495">
            <w:pPr>
              <w:pStyle w:val="TableStyle"/>
              <w:spacing w:before="0"/>
              <w:ind w:left="113" w:right="113"/>
              <w:rPr>
                <w:b/>
                <w:bCs/>
                <w:sz w:val="18"/>
                <w:szCs w:val="18"/>
              </w:rPr>
            </w:pPr>
          </w:p>
        </w:tc>
        <w:tc>
          <w:tcPr>
            <w:tcW w:w="474" w:type="pct"/>
            <w:vMerge/>
            <w:shd w:val="clear" w:color="auto" w:fill="CAEDFB" w:themeFill="accent4" w:themeFillTint="33"/>
            <w:textDirection w:val="tbRl"/>
            <w:vAlign w:val="center"/>
          </w:tcPr>
          <w:p w14:paraId="2AA74B2A" w14:textId="77777777" w:rsidR="00E20E2B" w:rsidRPr="007754D0" w:rsidRDefault="00E20E2B" w:rsidP="00732495">
            <w:pPr>
              <w:pStyle w:val="TableStyle"/>
              <w:spacing w:before="0"/>
              <w:ind w:left="113" w:right="113"/>
              <w:rPr>
                <w:b/>
                <w:bCs/>
                <w:sz w:val="18"/>
                <w:szCs w:val="18"/>
              </w:rPr>
            </w:pPr>
          </w:p>
        </w:tc>
        <w:tc>
          <w:tcPr>
            <w:tcW w:w="386" w:type="pct"/>
            <w:vMerge/>
            <w:shd w:val="clear" w:color="auto" w:fill="CAEDFB" w:themeFill="accent4" w:themeFillTint="33"/>
            <w:textDirection w:val="tbRl"/>
            <w:vAlign w:val="center"/>
          </w:tcPr>
          <w:p w14:paraId="6EFB5CAD" w14:textId="77777777" w:rsidR="00E20E2B" w:rsidRPr="007754D0" w:rsidRDefault="00E20E2B" w:rsidP="00732495">
            <w:pPr>
              <w:pStyle w:val="TableStyle"/>
              <w:spacing w:before="0"/>
              <w:ind w:left="113" w:right="113"/>
              <w:rPr>
                <w:b/>
                <w:bCs/>
                <w:sz w:val="18"/>
                <w:szCs w:val="18"/>
              </w:rPr>
            </w:pPr>
          </w:p>
        </w:tc>
      </w:tr>
      <w:tr w:rsidR="00DD20BD" w:rsidRPr="00B15F54" w14:paraId="5CDA9F59" w14:textId="77777777" w:rsidTr="00942C42">
        <w:trPr>
          <w:cantSplit/>
          <w:trHeight w:val="2399"/>
        </w:trPr>
        <w:tc>
          <w:tcPr>
            <w:tcW w:w="123" w:type="pct"/>
            <w:vAlign w:val="center"/>
          </w:tcPr>
          <w:p w14:paraId="1888A668" w14:textId="77777777" w:rsidR="00E20E2B" w:rsidRPr="007754D0" w:rsidRDefault="00E20E2B" w:rsidP="00E20E2B">
            <w:pPr>
              <w:pStyle w:val="TableStyle"/>
              <w:rPr>
                <w:sz w:val="18"/>
                <w:szCs w:val="18"/>
              </w:rPr>
            </w:pPr>
          </w:p>
        </w:tc>
        <w:tc>
          <w:tcPr>
            <w:tcW w:w="113" w:type="pct"/>
            <w:vAlign w:val="center"/>
          </w:tcPr>
          <w:p w14:paraId="4D6493E2" w14:textId="77777777" w:rsidR="00E20E2B" w:rsidRPr="007754D0" w:rsidRDefault="00E20E2B" w:rsidP="00E20E2B">
            <w:pPr>
              <w:pStyle w:val="TableStyle"/>
              <w:rPr>
                <w:sz w:val="18"/>
                <w:szCs w:val="18"/>
              </w:rPr>
            </w:pPr>
          </w:p>
        </w:tc>
        <w:tc>
          <w:tcPr>
            <w:tcW w:w="301" w:type="pct"/>
            <w:vAlign w:val="center"/>
          </w:tcPr>
          <w:p w14:paraId="268A3678" w14:textId="77777777" w:rsidR="00E20E2B" w:rsidRPr="007754D0" w:rsidRDefault="00E20E2B" w:rsidP="00E20E2B">
            <w:pPr>
              <w:pStyle w:val="TableStyle"/>
              <w:rPr>
                <w:sz w:val="18"/>
                <w:szCs w:val="18"/>
              </w:rPr>
            </w:pPr>
          </w:p>
        </w:tc>
        <w:tc>
          <w:tcPr>
            <w:tcW w:w="210" w:type="pct"/>
            <w:vAlign w:val="center"/>
          </w:tcPr>
          <w:p w14:paraId="1F586C9E" w14:textId="77777777" w:rsidR="00E20E2B" w:rsidRPr="007754D0" w:rsidRDefault="00E20E2B" w:rsidP="00E20E2B">
            <w:pPr>
              <w:pStyle w:val="TableStyle"/>
              <w:rPr>
                <w:sz w:val="18"/>
                <w:szCs w:val="18"/>
              </w:rPr>
            </w:pPr>
          </w:p>
        </w:tc>
        <w:tc>
          <w:tcPr>
            <w:tcW w:w="439" w:type="pct"/>
            <w:vAlign w:val="center"/>
          </w:tcPr>
          <w:p w14:paraId="1E4BA6C4" w14:textId="77777777" w:rsidR="00E20E2B" w:rsidRPr="007754D0" w:rsidRDefault="00E20E2B" w:rsidP="00E20E2B">
            <w:pPr>
              <w:pStyle w:val="TableStyle"/>
              <w:rPr>
                <w:sz w:val="18"/>
                <w:szCs w:val="18"/>
              </w:rPr>
            </w:pPr>
          </w:p>
        </w:tc>
        <w:tc>
          <w:tcPr>
            <w:tcW w:w="106" w:type="pct"/>
            <w:vAlign w:val="center"/>
          </w:tcPr>
          <w:p w14:paraId="57497DFA" w14:textId="77777777" w:rsidR="00E20E2B" w:rsidRPr="007754D0" w:rsidRDefault="00E20E2B" w:rsidP="00E20E2B">
            <w:pPr>
              <w:pStyle w:val="TableStyle"/>
              <w:jc w:val="center"/>
              <w:rPr>
                <w:sz w:val="18"/>
                <w:szCs w:val="18"/>
              </w:rPr>
            </w:pPr>
          </w:p>
        </w:tc>
        <w:tc>
          <w:tcPr>
            <w:tcW w:w="115" w:type="pct"/>
            <w:vAlign w:val="center"/>
          </w:tcPr>
          <w:p w14:paraId="3972B251" w14:textId="77777777" w:rsidR="00E20E2B" w:rsidRPr="007754D0" w:rsidRDefault="00E20E2B" w:rsidP="00E20E2B">
            <w:pPr>
              <w:pStyle w:val="TableStyle"/>
              <w:jc w:val="center"/>
              <w:rPr>
                <w:sz w:val="18"/>
                <w:szCs w:val="18"/>
              </w:rPr>
            </w:pPr>
          </w:p>
        </w:tc>
        <w:tc>
          <w:tcPr>
            <w:tcW w:w="115" w:type="pct"/>
            <w:vAlign w:val="center"/>
          </w:tcPr>
          <w:p w14:paraId="002FA6BF" w14:textId="77777777" w:rsidR="00E20E2B" w:rsidRPr="007754D0" w:rsidRDefault="00E20E2B" w:rsidP="00E20E2B">
            <w:pPr>
              <w:pStyle w:val="TableStyle"/>
              <w:jc w:val="center"/>
              <w:rPr>
                <w:sz w:val="18"/>
                <w:szCs w:val="18"/>
              </w:rPr>
            </w:pPr>
          </w:p>
        </w:tc>
        <w:tc>
          <w:tcPr>
            <w:tcW w:w="115" w:type="pct"/>
            <w:vAlign w:val="center"/>
          </w:tcPr>
          <w:p w14:paraId="3F1C8E48" w14:textId="77777777" w:rsidR="00E20E2B" w:rsidRPr="007754D0" w:rsidRDefault="00E20E2B" w:rsidP="00E20E2B">
            <w:pPr>
              <w:pStyle w:val="TableStyle"/>
              <w:jc w:val="center"/>
              <w:rPr>
                <w:sz w:val="18"/>
                <w:szCs w:val="18"/>
              </w:rPr>
            </w:pPr>
          </w:p>
        </w:tc>
        <w:tc>
          <w:tcPr>
            <w:tcW w:w="115" w:type="pct"/>
            <w:vAlign w:val="center"/>
          </w:tcPr>
          <w:p w14:paraId="458B3008" w14:textId="77777777" w:rsidR="00E20E2B" w:rsidRPr="007754D0" w:rsidRDefault="00E20E2B" w:rsidP="00E20E2B">
            <w:pPr>
              <w:pStyle w:val="TableStyle"/>
              <w:jc w:val="center"/>
              <w:rPr>
                <w:sz w:val="18"/>
                <w:szCs w:val="18"/>
              </w:rPr>
            </w:pPr>
          </w:p>
        </w:tc>
        <w:tc>
          <w:tcPr>
            <w:tcW w:w="115" w:type="pct"/>
            <w:vAlign w:val="center"/>
          </w:tcPr>
          <w:p w14:paraId="07BE7CE6" w14:textId="77777777" w:rsidR="00E20E2B" w:rsidRPr="007754D0" w:rsidRDefault="00E20E2B" w:rsidP="00E20E2B">
            <w:pPr>
              <w:pStyle w:val="TableStyle"/>
              <w:jc w:val="center"/>
              <w:rPr>
                <w:sz w:val="18"/>
                <w:szCs w:val="18"/>
              </w:rPr>
            </w:pPr>
          </w:p>
        </w:tc>
        <w:tc>
          <w:tcPr>
            <w:tcW w:w="115" w:type="pct"/>
            <w:vAlign w:val="center"/>
          </w:tcPr>
          <w:p w14:paraId="31CA3CCD" w14:textId="77777777" w:rsidR="00E20E2B" w:rsidRPr="007754D0" w:rsidRDefault="00E20E2B" w:rsidP="00E20E2B">
            <w:pPr>
              <w:pStyle w:val="TableStyle"/>
              <w:jc w:val="center"/>
              <w:rPr>
                <w:sz w:val="18"/>
                <w:szCs w:val="18"/>
              </w:rPr>
            </w:pPr>
          </w:p>
        </w:tc>
        <w:tc>
          <w:tcPr>
            <w:tcW w:w="115" w:type="pct"/>
            <w:vAlign w:val="center"/>
          </w:tcPr>
          <w:p w14:paraId="368B559F" w14:textId="77777777" w:rsidR="00E20E2B" w:rsidRPr="007754D0" w:rsidRDefault="00E20E2B" w:rsidP="00E20E2B">
            <w:pPr>
              <w:pStyle w:val="TableStyle"/>
              <w:jc w:val="center"/>
              <w:rPr>
                <w:sz w:val="18"/>
                <w:szCs w:val="18"/>
              </w:rPr>
            </w:pPr>
          </w:p>
        </w:tc>
        <w:tc>
          <w:tcPr>
            <w:tcW w:w="115" w:type="pct"/>
            <w:vAlign w:val="center"/>
          </w:tcPr>
          <w:p w14:paraId="1A6083BD" w14:textId="77777777" w:rsidR="00E20E2B" w:rsidRPr="007754D0" w:rsidRDefault="00E20E2B" w:rsidP="00E20E2B">
            <w:pPr>
              <w:pStyle w:val="TableStyle"/>
              <w:jc w:val="center"/>
              <w:rPr>
                <w:sz w:val="18"/>
                <w:szCs w:val="18"/>
              </w:rPr>
            </w:pPr>
          </w:p>
        </w:tc>
        <w:tc>
          <w:tcPr>
            <w:tcW w:w="93" w:type="pct"/>
            <w:vAlign w:val="center"/>
          </w:tcPr>
          <w:p w14:paraId="03AAAE60" w14:textId="77777777" w:rsidR="00E20E2B" w:rsidRPr="007754D0" w:rsidRDefault="00E20E2B" w:rsidP="00E20E2B">
            <w:pPr>
              <w:pStyle w:val="TableStyle"/>
              <w:jc w:val="center"/>
              <w:rPr>
                <w:sz w:val="18"/>
                <w:szCs w:val="18"/>
              </w:rPr>
            </w:pPr>
          </w:p>
        </w:tc>
        <w:tc>
          <w:tcPr>
            <w:tcW w:w="279" w:type="pct"/>
            <w:vAlign w:val="center"/>
          </w:tcPr>
          <w:p w14:paraId="45F03BA4" w14:textId="77777777" w:rsidR="00E20E2B" w:rsidRPr="007754D0" w:rsidRDefault="00E20E2B" w:rsidP="00E20E2B">
            <w:pPr>
              <w:pStyle w:val="TableStyle"/>
              <w:jc w:val="center"/>
              <w:rPr>
                <w:sz w:val="18"/>
                <w:szCs w:val="18"/>
              </w:rPr>
            </w:pPr>
          </w:p>
        </w:tc>
        <w:tc>
          <w:tcPr>
            <w:tcW w:w="237" w:type="pct"/>
            <w:vAlign w:val="center"/>
          </w:tcPr>
          <w:p w14:paraId="2C2CE735" w14:textId="77777777" w:rsidR="00E20E2B" w:rsidRPr="007754D0" w:rsidRDefault="00E20E2B" w:rsidP="00E20E2B">
            <w:pPr>
              <w:pStyle w:val="TableStyle"/>
              <w:jc w:val="center"/>
              <w:rPr>
                <w:sz w:val="18"/>
                <w:szCs w:val="18"/>
              </w:rPr>
            </w:pPr>
          </w:p>
        </w:tc>
        <w:tc>
          <w:tcPr>
            <w:tcW w:w="170" w:type="pct"/>
            <w:vAlign w:val="center"/>
          </w:tcPr>
          <w:p w14:paraId="51AEB3EB" w14:textId="77777777" w:rsidR="00E20E2B" w:rsidRPr="007754D0" w:rsidRDefault="00E20E2B" w:rsidP="00E20E2B">
            <w:pPr>
              <w:pStyle w:val="TableStyle"/>
              <w:jc w:val="center"/>
              <w:rPr>
                <w:sz w:val="18"/>
                <w:szCs w:val="18"/>
              </w:rPr>
            </w:pPr>
          </w:p>
        </w:tc>
        <w:tc>
          <w:tcPr>
            <w:tcW w:w="115" w:type="pct"/>
            <w:vAlign w:val="center"/>
          </w:tcPr>
          <w:p w14:paraId="36392C24" w14:textId="77777777" w:rsidR="00E20E2B" w:rsidRPr="007754D0" w:rsidRDefault="00E20E2B" w:rsidP="00E20E2B">
            <w:pPr>
              <w:pStyle w:val="TableStyle"/>
              <w:jc w:val="center"/>
              <w:rPr>
                <w:sz w:val="18"/>
                <w:szCs w:val="18"/>
              </w:rPr>
            </w:pPr>
          </w:p>
        </w:tc>
        <w:tc>
          <w:tcPr>
            <w:tcW w:w="115" w:type="pct"/>
            <w:vAlign w:val="center"/>
          </w:tcPr>
          <w:p w14:paraId="4A5F3EE3" w14:textId="77777777" w:rsidR="00E20E2B" w:rsidRPr="007754D0" w:rsidRDefault="00E20E2B" w:rsidP="00E20E2B">
            <w:pPr>
              <w:pStyle w:val="TableStyle"/>
              <w:jc w:val="center"/>
              <w:rPr>
                <w:sz w:val="18"/>
                <w:szCs w:val="18"/>
              </w:rPr>
            </w:pPr>
          </w:p>
        </w:tc>
        <w:tc>
          <w:tcPr>
            <w:tcW w:w="115" w:type="pct"/>
            <w:vAlign w:val="center"/>
          </w:tcPr>
          <w:p w14:paraId="42FC7430" w14:textId="77777777" w:rsidR="00E20E2B" w:rsidRPr="007754D0" w:rsidRDefault="00E20E2B" w:rsidP="00E20E2B">
            <w:pPr>
              <w:pStyle w:val="TableStyle"/>
              <w:jc w:val="center"/>
              <w:rPr>
                <w:sz w:val="18"/>
                <w:szCs w:val="18"/>
              </w:rPr>
            </w:pPr>
          </w:p>
        </w:tc>
        <w:tc>
          <w:tcPr>
            <w:tcW w:w="115" w:type="pct"/>
            <w:vAlign w:val="center"/>
          </w:tcPr>
          <w:p w14:paraId="6A023A97" w14:textId="77777777" w:rsidR="00E20E2B" w:rsidRPr="007754D0" w:rsidRDefault="00E20E2B" w:rsidP="00E20E2B">
            <w:pPr>
              <w:pStyle w:val="TableStyle"/>
              <w:jc w:val="center"/>
              <w:rPr>
                <w:sz w:val="18"/>
                <w:szCs w:val="18"/>
              </w:rPr>
            </w:pPr>
          </w:p>
        </w:tc>
        <w:tc>
          <w:tcPr>
            <w:tcW w:w="115" w:type="pct"/>
            <w:vAlign w:val="center"/>
          </w:tcPr>
          <w:p w14:paraId="728E94EF" w14:textId="77777777" w:rsidR="00E20E2B" w:rsidRPr="007754D0" w:rsidRDefault="00E20E2B" w:rsidP="00E20E2B">
            <w:pPr>
              <w:pStyle w:val="TableStyle"/>
              <w:jc w:val="center"/>
              <w:rPr>
                <w:sz w:val="18"/>
                <w:szCs w:val="18"/>
              </w:rPr>
            </w:pPr>
          </w:p>
        </w:tc>
        <w:tc>
          <w:tcPr>
            <w:tcW w:w="115" w:type="pct"/>
            <w:vAlign w:val="center"/>
          </w:tcPr>
          <w:p w14:paraId="62F48C1C" w14:textId="77777777" w:rsidR="00E20E2B" w:rsidRPr="007754D0" w:rsidRDefault="00E20E2B" w:rsidP="00E20E2B">
            <w:pPr>
              <w:pStyle w:val="TableStyle"/>
              <w:jc w:val="center"/>
              <w:rPr>
                <w:sz w:val="18"/>
                <w:szCs w:val="18"/>
              </w:rPr>
            </w:pPr>
          </w:p>
        </w:tc>
        <w:tc>
          <w:tcPr>
            <w:tcW w:w="115" w:type="pct"/>
            <w:vAlign w:val="center"/>
          </w:tcPr>
          <w:p w14:paraId="5AAFEE9A" w14:textId="77777777" w:rsidR="00E20E2B" w:rsidRPr="007754D0" w:rsidRDefault="00E20E2B" w:rsidP="00E20E2B">
            <w:pPr>
              <w:pStyle w:val="TableStyle"/>
              <w:jc w:val="center"/>
              <w:rPr>
                <w:sz w:val="18"/>
                <w:szCs w:val="18"/>
              </w:rPr>
            </w:pPr>
          </w:p>
        </w:tc>
        <w:tc>
          <w:tcPr>
            <w:tcW w:w="115" w:type="pct"/>
            <w:vAlign w:val="center"/>
          </w:tcPr>
          <w:p w14:paraId="2A618162" w14:textId="77777777" w:rsidR="00E20E2B" w:rsidRPr="007754D0" w:rsidRDefault="00E20E2B" w:rsidP="00E20E2B">
            <w:pPr>
              <w:pStyle w:val="TableStyle"/>
              <w:jc w:val="center"/>
              <w:rPr>
                <w:sz w:val="18"/>
                <w:szCs w:val="18"/>
              </w:rPr>
            </w:pPr>
          </w:p>
        </w:tc>
        <w:tc>
          <w:tcPr>
            <w:tcW w:w="115" w:type="pct"/>
            <w:vAlign w:val="center"/>
          </w:tcPr>
          <w:p w14:paraId="79AD549B" w14:textId="77777777" w:rsidR="00E20E2B" w:rsidRPr="007754D0" w:rsidRDefault="00E20E2B" w:rsidP="00E20E2B">
            <w:pPr>
              <w:pStyle w:val="TableStyle"/>
              <w:jc w:val="center"/>
              <w:rPr>
                <w:sz w:val="18"/>
                <w:szCs w:val="18"/>
              </w:rPr>
            </w:pPr>
          </w:p>
        </w:tc>
        <w:tc>
          <w:tcPr>
            <w:tcW w:w="115" w:type="pct"/>
            <w:vAlign w:val="center"/>
          </w:tcPr>
          <w:p w14:paraId="0993AD81" w14:textId="77777777" w:rsidR="00E20E2B" w:rsidRPr="007754D0" w:rsidRDefault="00E20E2B" w:rsidP="00E20E2B">
            <w:pPr>
              <w:pStyle w:val="TableStyle"/>
              <w:jc w:val="center"/>
              <w:rPr>
                <w:sz w:val="18"/>
                <w:szCs w:val="18"/>
              </w:rPr>
            </w:pPr>
          </w:p>
        </w:tc>
        <w:tc>
          <w:tcPr>
            <w:tcW w:w="474" w:type="pct"/>
            <w:vAlign w:val="center"/>
          </w:tcPr>
          <w:p w14:paraId="0173F69F" w14:textId="77777777" w:rsidR="00E20E2B" w:rsidRDefault="00E20E2B" w:rsidP="00E20E2B">
            <w:pPr>
              <w:pStyle w:val="TableStyle"/>
              <w:jc w:val="center"/>
              <w:rPr>
                <w:sz w:val="18"/>
                <w:szCs w:val="18"/>
              </w:rPr>
            </w:pPr>
          </w:p>
          <w:p w14:paraId="58C8F38C" w14:textId="77777777" w:rsidR="00E20E2B" w:rsidRPr="007754D0" w:rsidRDefault="00E20E2B" w:rsidP="00E20E2B">
            <w:pPr>
              <w:pStyle w:val="TableStyle"/>
              <w:jc w:val="center"/>
              <w:rPr>
                <w:sz w:val="18"/>
                <w:szCs w:val="18"/>
              </w:rPr>
            </w:pPr>
          </w:p>
        </w:tc>
        <w:tc>
          <w:tcPr>
            <w:tcW w:w="386" w:type="pct"/>
            <w:vAlign w:val="center"/>
          </w:tcPr>
          <w:p w14:paraId="30342E22" w14:textId="77777777" w:rsidR="00E20E2B" w:rsidRPr="007754D0" w:rsidRDefault="00E20E2B" w:rsidP="00E20E2B">
            <w:pPr>
              <w:pStyle w:val="TableStyle"/>
              <w:rPr>
                <w:sz w:val="18"/>
                <w:szCs w:val="18"/>
              </w:rPr>
            </w:pPr>
          </w:p>
        </w:tc>
      </w:tr>
    </w:tbl>
    <w:p w14:paraId="3E83EE55" w14:textId="591B4271" w:rsidR="00CD0B50" w:rsidRDefault="00C01395" w:rsidP="001E4FA3">
      <w:r>
        <w:t>*</w:t>
      </w:r>
      <w:r w:rsidR="008A285C">
        <w:t>CC – Consequence category</w:t>
      </w:r>
    </w:p>
    <w:p w14:paraId="429EC530" w14:textId="77777777" w:rsidR="00313568" w:rsidRDefault="00313568" w:rsidP="00313568">
      <w:pPr>
        <w:keepNext/>
      </w:pPr>
      <w:r w:rsidRPr="004E6568">
        <w:rPr>
          <w:noProof/>
        </w:rPr>
        <w:lastRenderedPageBreak/>
        <w:drawing>
          <wp:inline distT="0" distB="0" distL="0" distR="0" wp14:anchorId="6D8DF0C8" wp14:editId="3BA24CA1">
            <wp:extent cx="9183629" cy="4183811"/>
            <wp:effectExtent l="0" t="0" r="0" b="7620"/>
            <wp:docPr id="1796792467" name="Picture 1" descr="A diagram of a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92467" name="Picture 1" descr="A diagram of a hazard"/>
                    <pic:cNvPicPr/>
                  </pic:nvPicPr>
                  <pic:blipFill>
                    <a:blip r:embed="rId40"/>
                    <a:stretch>
                      <a:fillRect/>
                    </a:stretch>
                  </pic:blipFill>
                  <pic:spPr>
                    <a:xfrm>
                      <a:off x="0" y="0"/>
                      <a:ext cx="9219032" cy="4199940"/>
                    </a:xfrm>
                    <a:prstGeom prst="rect">
                      <a:avLst/>
                    </a:prstGeom>
                  </pic:spPr>
                </pic:pic>
              </a:graphicData>
            </a:graphic>
          </wp:inline>
        </w:drawing>
      </w:r>
    </w:p>
    <w:p w14:paraId="5FFFA5F1" w14:textId="6F6F7283" w:rsidR="00313568" w:rsidRDefault="00313568" w:rsidP="00313568">
      <w:pPr>
        <w:pStyle w:val="Caption"/>
      </w:pPr>
      <w:r>
        <w:t xml:space="preserve">Figure </w:t>
      </w:r>
      <w:r w:rsidR="00561E0A">
        <w:fldChar w:fldCharType="begin"/>
      </w:r>
      <w:r w:rsidR="00561E0A">
        <w:instrText xml:space="preserve"> SEQ Figure \* ARABIC </w:instrText>
      </w:r>
      <w:r w:rsidR="00561E0A">
        <w:fldChar w:fldCharType="separate"/>
      </w:r>
      <w:r w:rsidR="001C0481">
        <w:rPr>
          <w:noProof/>
        </w:rPr>
        <w:t>5</w:t>
      </w:r>
      <w:r w:rsidR="00561E0A">
        <w:rPr>
          <w:noProof/>
        </w:rPr>
        <w:fldChar w:fldCharType="end"/>
      </w:r>
      <w:r>
        <w:tab/>
      </w:r>
      <w:r w:rsidR="0045113A">
        <w:t>Example of bowtie</w:t>
      </w:r>
      <w:r w:rsidR="009D5480">
        <w:t xml:space="preserve"> format</w:t>
      </w:r>
      <w:r>
        <w:rPr>
          <w:rStyle w:val="FootnoteReference"/>
        </w:rPr>
        <w:footnoteReference w:id="43"/>
      </w:r>
    </w:p>
    <w:p w14:paraId="75CAAD13" w14:textId="77777777" w:rsidR="00CD0B50" w:rsidRDefault="00CD0B50" w:rsidP="001E4FA3"/>
    <w:p w14:paraId="57AFF029" w14:textId="77777777" w:rsidR="00CD0B50" w:rsidRDefault="00CD0B50" w:rsidP="001E4FA3"/>
    <w:p w14:paraId="2FE63653" w14:textId="77777777" w:rsidR="001E4FA3" w:rsidRDefault="001E4FA3" w:rsidP="001E4FA3">
      <w:pPr>
        <w:sectPr w:rsidR="001E4FA3" w:rsidSect="007754D0">
          <w:headerReference w:type="default" r:id="rId41"/>
          <w:footerReference w:type="default" r:id="rId42"/>
          <w:pgSz w:w="23811" w:h="16838" w:orient="landscape" w:code="8"/>
          <w:pgMar w:top="1440" w:right="1440" w:bottom="1440" w:left="1440" w:header="708" w:footer="708" w:gutter="0"/>
          <w:cols w:space="708"/>
          <w:docGrid w:linePitch="360"/>
        </w:sectPr>
      </w:pPr>
    </w:p>
    <w:p w14:paraId="6839D9E8" w14:textId="77777777" w:rsidR="00A35221" w:rsidRDefault="00A35221" w:rsidP="00A35221">
      <w:pPr>
        <w:jc w:val="center"/>
        <w:rPr>
          <w:i/>
          <w:iCs/>
          <w:sz w:val="52"/>
          <w:szCs w:val="52"/>
        </w:rPr>
      </w:pPr>
    </w:p>
    <w:p w14:paraId="0403FDCB" w14:textId="77777777" w:rsidR="00A35221" w:rsidRDefault="00A35221" w:rsidP="00A35221">
      <w:pPr>
        <w:jc w:val="center"/>
        <w:rPr>
          <w:i/>
          <w:iCs/>
          <w:sz w:val="52"/>
          <w:szCs w:val="52"/>
        </w:rPr>
      </w:pPr>
    </w:p>
    <w:p w14:paraId="3A9517C7" w14:textId="77777777" w:rsidR="00A35221" w:rsidRDefault="00A35221" w:rsidP="00A35221">
      <w:pPr>
        <w:jc w:val="center"/>
        <w:rPr>
          <w:i/>
          <w:iCs/>
          <w:sz w:val="52"/>
          <w:szCs w:val="52"/>
        </w:rPr>
      </w:pPr>
    </w:p>
    <w:p w14:paraId="09B9EE4D" w14:textId="77777777" w:rsidR="00A35221" w:rsidRDefault="00A35221" w:rsidP="00A35221">
      <w:pPr>
        <w:jc w:val="center"/>
        <w:rPr>
          <w:i/>
          <w:iCs/>
          <w:sz w:val="52"/>
          <w:szCs w:val="52"/>
        </w:rPr>
      </w:pPr>
    </w:p>
    <w:p w14:paraId="07FC39D0" w14:textId="77777777" w:rsidR="00A35221" w:rsidRDefault="00A35221" w:rsidP="00A35221">
      <w:pPr>
        <w:jc w:val="center"/>
        <w:rPr>
          <w:i/>
          <w:iCs/>
          <w:sz w:val="52"/>
          <w:szCs w:val="52"/>
        </w:rPr>
      </w:pPr>
    </w:p>
    <w:p w14:paraId="7E671E9D" w14:textId="77777777" w:rsidR="00A35221" w:rsidRDefault="00A35221" w:rsidP="00A35221">
      <w:pPr>
        <w:jc w:val="center"/>
        <w:rPr>
          <w:i/>
          <w:iCs/>
          <w:sz w:val="52"/>
          <w:szCs w:val="52"/>
        </w:rPr>
      </w:pPr>
    </w:p>
    <w:p w14:paraId="027B650E" w14:textId="6BF4F56C" w:rsidR="001E4FA3" w:rsidRDefault="00A35221" w:rsidP="003B1F8B">
      <w:pPr>
        <w:jc w:val="center"/>
        <w:rPr>
          <w:i/>
          <w:iCs/>
          <w:sz w:val="52"/>
          <w:szCs w:val="52"/>
        </w:rPr>
      </w:pPr>
      <w:r w:rsidRPr="00A35221">
        <w:rPr>
          <w:i/>
          <w:iCs/>
          <w:sz w:val="52"/>
          <w:szCs w:val="52"/>
        </w:rPr>
        <w:t xml:space="preserve">Intentionally </w:t>
      </w:r>
      <w:r w:rsidR="003B1F8B" w:rsidRPr="00A35221">
        <w:rPr>
          <w:i/>
          <w:iCs/>
          <w:sz w:val="52"/>
          <w:szCs w:val="52"/>
        </w:rPr>
        <w:t>Blank</w:t>
      </w:r>
    </w:p>
    <w:p w14:paraId="0E64D467" w14:textId="77777777" w:rsidR="00A46995" w:rsidRDefault="00A46995" w:rsidP="003B1F8B">
      <w:pPr>
        <w:jc w:val="center"/>
        <w:rPr>
          <w:i/>
          <w:iCs/>
          <w:sz w:val="52"/>
          <w:szCs w:val="52"/>
        </w:rPr>
      </w:pPr>
    </w:p>
    <w:p w14:paraId="0C75219B" w14:textId="77777777" w:rsidR="00A46995" w:rsidRDefault="00A46995" w:rsidP="003B1F8B">
      <w:pPr>
        <w:jc w:val="center"/>
        <w:rPr>
          <w:i/>
          <w:iCs/>
          <w:sz w:val="52"/>
          <w:szCs w:val="52"/>
        </w:rPr>
      </w:pPr>
    </w:p>
    <w:p w14:paraId="2E85DE00" w14:textId="77777777" w:rsidR="00A46995" w:rsidRDefault="00A46995" w:rsidP="003B1F8B">
      <w:pPr>
        <w:jc w:val="center"/>
        <w:rPr>
          <w:i/>
          <w:iCs/>
          <w:sz w:val="52"/>
          <w:szCs w:val="52"/>
        </w:rPr>
      </w:pPr>
    </w:p>
    <w:p w14:paraId="53E9F9F8" w14:textId="77777777" w:rsidR="00A46995" w:rsidRDefault="00A46995" w:rsidP="003B1F8B">
      <w:pPr>
        <w:jc w:val="center"/>
        <w:rPr>
          <w:i/>
          <w:iCs/>
          <w:sz w:val="52"/>
          <w:szCs w:val="52"/>
        </w:rPr>
      </w:pPr>
    </w:p>
    <w:p w14:paraId="4F06BE1E" w14:textId="77777777" w:rsidR="00A46995" w:rsidRDefault="00A46995" w:rsidP="003B1F8B">
      <w:pPr>
        <w:jc w:val="center"/>
        <w:rPr>
          <w:i/>
          <w:iCs/>
          <w:sz w:val="52"/>
          <w:szCs w:val="52"/>
        </w:rPr>
      </w:pPr>
    </w:p>
    <w:p w14:paraId="4C118A97" w14:textId="77777777" w:rsidR="00A46995" w:rsidRDefault="00A46995" w:rsidP="003B1F8B">
      <w:pPr>
        <w:jc w:val="center"/>
        <w:rPr>
          <w:i/>
          <w:iCs/>
          <w:sz w:val="52"/>
          <w:szCs w:val="52"/>
        </w:rPr>
      </w:pPr>
    </w:p>
    <w:p w14:paraId="5EF91CE2" w14:textId="77777777" w:rsidR="00A46995" w:rsidRDefault="00A46995" w:rsidP="003B1F8B">
      <w:pPr>
        <w:jc w:val="center"/>
        <w:rPr>
          <w:i/>
          <w:iCs/>
          <w:sz w:val="52"/>
          <w:szCs w:val="52"/>
        </w:rPr>
      </w:pPr>
    </w:p>
    <w:p w14:paraId="4E47F02A" w14:textId="77777777" w:rsidR="00A46995" w:rsidRDefault="00A46995" w:rsidP="003B1F8B">
      <w:pPr>
        <w:jc w:val="center"/>
        <w:rPr>
          <w:i/>
          <w:iCs/>
          <w:sz w:val="52"/>
          <w:szCs w:val="52"/>
        </w:rPr>
      </w:pPr>
    </w:p>
    <w:p w14:paraId="6BACEC10" w14:textId="77777777" w:rsidR="00A46995" w:rsidRDefault="00A46995" w:rsidP="003B1F8B">
      <w:pPr>
        <w:jc w:val="center"/>
        <w:rPr>
          <w:i/>
          <w:iCs/>
          <w:sz w:val="52"/>
          <w:szCs w:val="52"/>
        </w:rPr>
      </w:pPr>
    </w:p>
    <w:p w14:paraId="7D8C3615" w14:textId="77777777" w:rsidR="00A46995" w:rsidRDefault="00A46995" w:rsidP="003B1F8B">
      <w:pPr>
        <w:jc w:val="center"/>
        <w:rPr>
          <w:i/>
          <w:iCs/>
          <w:sz w:val="52"/>
          <w:szCs w:val="52"/>
        </w:rPr>
      </w:pPr>
    </w:p>
    <w:p w14:paraId="29CCAE1D" w14:textId="4010F6C7" w:rsidR="005A34DF" w:rsidRPr="005A34DF" w:rsidRDefault="009E1D72" w:rsidP="005A34DF">
      <w:r>
        <w:t xml:space="preserve"> </w:t>
      </w:r>
    </w:p>
    <w:sectPr w:rsidR="005A34DF" w:rsidRPr="005A34DF">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080F" w14:textId="77777777" w:rsidR="00C674BF" w:rsidRDefault="00C674BF" w:rsidP="00050977">
      <w:pPr>
        <w:spacing w:after="0" w:line="240" w:lineRule="auto"/>
      </w:pPr>
      <w:r>
        <w:separator/>
      </w:r>
    </w:p>
  </w:endnote>
  <w:endnote w:type="continuationSeparator" w:id="0">
    <w:p w14:paraId="6DB77E75" w14:textId="77777777" w:rsidR="00C674BF" w:rsidRDefault="00C674BF" w:rsidP="0005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64D7" w14:textId="3F39E8D4" w:rsidR="00050977" w:rsidRDefault="00DC14D4">
    <w:pPr>
      <w:pStyle w:val="Footer"/>
    </w:pPr>
    <w:r>
      <w:rPr>
        <w:noProof/>
      </w:rPr>
      <mc:AlternateContent>
        <mc:Choice Requires="wps">
          <w:drawing>
            <wp:anchor distT="0" distB="0" distL="0" distR="0" simplePos="0" relativeHeight="251658240" behindDoc="0" locked="0" layoutInCell="1" allowOverlap="1" wp14:anchorId="2BA5E5F5" wp14:editId="238D7FE8">
              <wp:simplePos x="635" y="635"/>
              <wp:positionH relativeFrom="page">
                <wp:align>center</wp:align>
              </wp:positionH>
              <wp:positionV relativeFrom="page">
                <wp:align>bottom</wp:align>
              </wp:positionV>
              <wp:extent cx="551815" cy="391160"/>
              <wp:effectExtent l="0" t="0" r="635" b="0"/>
              <wp:wrapNone/>
              <wp:docPr id="4021341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5E5F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8586" w14:textId="5DB68667" w:rsidR="00CB3CB3" w:rsidRDefault="001F4DB6" w:rsidP="289F3FD9">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8244" behindDoc="0" locked="0" layoutInCell="1" allowOverlap="1" wp14:anchorId="49A2DBAD" wp14:editId="1BC4E31C">
              <wp:simplePos x="0" y="0"/>
              <wp:positionH relativeFrom="page">
                <wp:align>left</wp:align>
              </wp:positionH>
              <wp:positionV relativeFrom="paragraph">
                <wp:posOffset>57150</wp:posOffset>
              </wp:positionV>
              <wp:extent cx="7562850" cy="539750"/>
              <wp:effectExtent l="0" t="0" r="0" b="0"/>
              <wp:wrapNone/>
              <wp:docPr id="1412868440" name="Rectangle 1"/>
              <wp:cNvGraphicFramePr/>
              <a:graphic xmlns:a="http://schemas.openxmlformats.org/drawingml/2006/main">
                <a:graphicData uri="http://schemas.microsoft.com/office/word/2010/wordprocessingShape">
                  <wps:wsp>
                    <wps:cNvSpPr/>
                    <wps:spPr>
                      <a:xfrm>
                        <a:off x="0" y="0"/>
                        <a:ext cx="7562850" cy="539750"/>
                      </a:xfrm>
                      <a:prstGeom prst="rect">
                        <a:avLst/>
                      </a:prstGeom>
                      <a:solidFill>
                        <a:srgbClr val="021D5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AA01FA" w14:textId="1792EA7E" w:rsidR="003B1F8B" w:rsidRDefault="003B1F8B" w:rsidP="006A104F">
                          <w:pPr>
                            <w:jc w:val="center"/>
                          </w:pPr>
                          <w:r>
                            <w:fldChar w:fldCharType="begin"/>
                          </w:r>
                          <w:r>
                            <w:instrText xml:space="preserve"> PAGE   \* MERGEFORMAT </w:instrText>
                          </w:r>
                          <w:r>
                            <w:fldChar w:fldCharType="separate"/>
                          </w:r>
                          <w:r>
                            <w:rPr>
                              <w:noProof/>
                            </w:rPr>
                            <w:t>1</w:t>
                          </w:r>
                          <w:r>
                            <w:rPr>
                              <w:noProof/>
                            </w:rPr>
                            <w:fldChar w:fldCharType="end"/>
                          </w:r>
                          <w:r w:rsidR="00455BC2">
                            <w:rPr>
                              <w:noProof/>
                            </w:rPr>
                            <w:t xml:space="preserve"> </w:t>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455BC2">
                            <w:rPr>
                              <w:noProof/>
                            </w:rPr>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DBAD" id="Rectangle 1" o:spid="_x0000_s1027" style="position:absolute;left:0;text-align:left;margin-left:0;margin-top:4.5pt;width:595.5pt;height:42.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" fillcolor="#021d5e" stroked="f" strokeweight="1pt">
              <v:textbox>
                <w:txbxContent>
                  <w:p w14:paraId="55AA01FA" w14:textId="1792EA7E" w:rsidR="003B1F8B" w:rsidRDefault="003B1F8B" w:rsidP="006A104F">
                    <w:pPr>
                      <w:jc w:val="center"/>
                    </w:pPr>
                    <w:r>
                      <w:fldChar w:fldCharType="begin"/>
                    </w:r>
                    <w:r>
                      <w:instrText xml:space="preserve"> PAGE   \* MERGEFORMAT </w:instrText>
                    </w:r>
                    <w:r>
                      <w:fldChar w:fldCharType="separate"/>
                    </w:r>
                    <w:r>
                      <w:rPr>
                        <w:noProof/>
                      </w:rPr>
                      <w:t>1</w:t>
                    </w:r>
                    <w:r>
                      <w:rPr>
                        <w:noProof/>
                      </w:rPr>
                      <w:fldChar w:fldCharType="end"/>
                    </w:r>
                    <w:r w:rsidR="00455BC2">
                      <w:rPr>
                        <w:noProof/>
                      </w:rPr>
                      <w:t xml:space="preserve"> </w:t>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0D1F3E">
                      <w:rPr>
                        <w:noProof/>
                      </w:rPr>
                      <w:tab/>
                    </w:r>
                    <w:r w:rsidR="00455BC2">
                      <w:rPr>
                        <w:noProof/>
                      </w:rPr>
                      <w:t xml:space="preserve">Mine Land Rehabilitation Authority </w:t>
                    </w:r>
                  </w:p>
                </w:txbxContent>
              </v:textbox>
              <w10:wrap anchorx="page"/>
            </v:rect>
          </w:pict>
        </mc:Fallback>
      </mc:AlternateContent>
    </w:r>
    <w:r w:rsidR="00DD1009">
      <w:rPr>
        <w:noProof/>
      </w:rPr>
      <mc:AlternateContent>
        <mc:Choice Requires="wps">
          <w:drawing>
            <wp:anchor distT="0" distB="0" distL="114300" distR="114300" simplePos="0" relativeHeight="251658245" behindDoc="0" locked="0" layoutInCell="1" allowOverlap="1" wp14:anchorId="4919CDE1" wp14:editId="6B95C919">
              <wp:simplePos x="0" y="0"/>
              <wp:positionH relativeFrom="column">
                <wp:posOffset>-1428750</wp:posOffset>
              </wp:positionH>
              <wp:positionV relativeFrom="paragraph">
                <wp:posOffset>-211455</wp:posOffset>
              </wp:positionV>
              <wp:extent cx="8401050" cy="270000"/>
              <wp:effectExtent l="0" t="0" r="0" b="0"/>
              <wp:wrapNone/>
              <wp:docPr id="986893195" name="Rectangle 2"/>
              <wp:cNvGraphicFramePr/>
              <a:graphic xmlns:a="http://schemas.openxmlformats.org/drawingml/2006/main">
                <a:graphicData uri="http://schemas.microsoft.com/office/word/2010/wordprocessingShape">
                  <wps:wsp>
                    <wps:cNvSpPr/>
                    <wps:spPr>
                      <a:xfrm>
                        <a:off x="0" y="0"/>
                        <a:ext cx="8401050" cy="270000"/>
                      </a:xfrm>
                      <a:prstGeom prst="rect">
                        <a:avLst/>
                      </a:prstGeom>
                      <a:solidFill>
                        <a:srgbClr val="D4DB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0BAFA" id="Rectangle 2" o:spid="_x0000_s1026" style="position:absolute;margin-left:-112.5pt;margin-top:-16.65pt;width:661.5pt;height:2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" fillcolor="#d4dbeb" stroked="f" strokeweight="1pt"/>
          </w:pict>
        </mc:Fallback>
      </mc:AlternateContent>
    </w:r>
    <w:r w:rsidR="00455BC2">
      <w:t>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0E8" w14:textId="66E0DD8C" w:rsidR="00050977" w:rsidRDefault="00DC14D4">
    <w:pPr>
      <w:pStyle w:val="Footer"/>
    </w:pPr>
    <w:r>
      <w:rPr>
        <w:noProof/>
      </w:rPr>
      <mc:AlternateContent>
        <mc:Choice Requires="wps">
          <w:drawing>
            <wp:anchor distT="0" distB="0" distL="0" distR="0" simplePos="0" relativeHeight="251658241" behindDoc="0" locked="0" layoutInCell="1" allowOverlap="1" wp14:anchorId="5BA02F15" wp14:editId="64116B5F">
              <wp:simplePos x="635" y="635"/>
              <wp:positionH relativeFrom="page">
                <wp:align>center</wp:align>
              </wp:positionH>
              <wp:positionV relativeFrom="page">
                <wp:align>bottom</wp:align>
              </wp:positionV>
              <wp:extent cx="551815" cy="391160"/>
              <wp:effectExtent l="0" t="0" r="635" b="0"/>
              <wp:wrapNone/>
              <wp:docPr id="2950493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D5FC0E" w14:textId="13335724"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02F1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3D5FC0E" w14:textId="13335724"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350C" w14:textId="73382870" w:rsidR="001F4DB6" w:rsidRDefault="001F4DB6" w:rsidP="0016564C">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8249" behindDoc="0" locked="0" layoutInCell="1" allowOverlap="1" wp14:anchorId="01A0BA52" wp14:editId="7529C27B">
              <wp:simplePos x="0" y="0"/>
              <wp:positionH relativeFrom="page">
                <wp:align>right</wp:align>
              </wp:positionH>
              <wp:positionV relativeFrom="paragraph">
                <wp:posOffset>-180975</wp:posOffset>
              </wp:positionV>
              <wp:extent cx="15116175" cy="269875"/>
              <wp:effectExtent l="0" t="0" r="9525" b="0"/>
              <wp:wrapNone/>
              <wp:docPr id="760358291" name="Rectangle 2"/>
              <wp:cNvGraphicFramePr/>
              <a:graphic xmlns:a="http://schemas.openxmlformats.org/drawingml/2006/main">
                <a:graphicData uri="http://schemas.microsoft.com/office/word/2010/wordprocessingShape">
                  <wps:wsp>
                    <wps:cNvSpPr/>
                    <wps:spPr>
                      <a:xfrm>
                        <a:off x="0" y="0"/>
                        <a:ext cx="15116175" cy="269875"/>
                      </a:xfrm>
                      <a:prstGeom prst="rect">
                        <a:avLst/>
                      </a:prstGeom>
                      <a:solidFill>
                        <a:srgbClr val="D4DB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A4D59" id="Rectangle 2" o:spid="_x0000_s1026" style="position:absolute;margin-left:1139.05pt;margin-top:-14.25pt;width:1190.25pt;height:21.25pt;z-index:2516582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" fillcolor="#d4dbeb" stroked="f" strokeweight="1pt">
              <w10:wrap anchorx="page"/>
            </v:rect>
          </w:pict>
        </mc:Fallback>
      </mc:AlternateContent>
    </w:r>
    <w:r>
      <w:rPr>
        <w:noProof/>
      </w:rPr>
      <mc:AlternateContent>
        <mc:Choice Requires="wps">
          <w:drawing>
            <wp:anchor distT="0" distB="0" distL="114300" distR="114300" simplePos="0" relativeHeight="251658248" behindDoc="0" locked="0" layoutInCell="1" allowOverlap="1" wp14:anchorId="5F25F669" wp14:editId="1DFEFF12">
              <wp:simplePos x="0" y="0"/>
              <wp:positionH relativeFrom="page">
                <wp:align>right</wp:align>
              </wp:positionH>
              <wp:positionV relativeFrom="paragraph">
                <wp:posOffset>60325</wp:posOffset>
              </wp:positionV>
              <wp:extent cx="15116175" cy="539750"/>
              <wp:effectExtent l="0" t="0" r="9525" b="0"/>
              <wp:wrapNone/>
              <wp:docPr id="1583852477" name="Rectangle 1"/>
              <wp:cNvGraphicFramePr/>
              <a:graphic xmlns:a="http://schemas.openxmlformats.org/drawingml/2006/main">
                <a:graphicData uri="http://schemas.microsoft.com/office/word/2010/wordprocessingShape">
                  <wps:wsp>
                    <wps:cNvSpPr/>
                    <wps:spPr>
                      <a:xfrm>
                        <a:off x="0" y="0"/>
                        <a:ext cx="15116175" cy="539750"/>
                      </a:xfrm>
                      <a:prstGeom prst="rect">
                        <a:avLst/>
                      </a:prstGeom>
                      <a:solidFill>
                        <a:srgbClr val="021D5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66B3BB" w14:textId="4094EC36" w:rsidR="001F4DB6" w:rsidRDefault="001F4DB6" w:rsidP="006A104F">
                          <w:pPr>
                            <w:jc w:val="center"/>
                          </w:pPr>
                          <w:r>
                            <w:fldChar w:fldCharType="begin"/>
                          </w:r>
                          <w:r>
                            <w:instrText xml:space="preserve"> PAGE   \* MERGEFORMAT </w:instrText>
                          </w:r>
                          <w:r>
                            <w:fldChar w:fldCharType="separate"/>
                          </w:r>
                          <w:r>
                            <w:rPr>
                              <w:noProof/>
                            </w:rPr>
                            <w:t>1</w:t>
                          </w:r>
                          <w:r>
                            <w:rPr>
                              <w:noProof/>
                            </w:rPr>
                            <w:fldChar w:fldCharType="end"/>
                          </w:r>
                          <w:r w:rsidR="00A35221">
                            <w:rPr>
                              <w:noProof/>
                            </w:rPr>
                            <w:t xml:space="preserve"> </w:t>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5F669" id="_x0000_s1029" style="position:absolute;left:0;text-align:left;margin-left:1139.05pt;margin-top:4.75pt;width:1190.25pt;height:42.5pt;z-index:2516582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" fillcolor="#021d5e" stroked="f" strokeweight="1pt">
              <v:textbox>
                <w:txbxContent>
                  <w:p w14:paraId="3466B3BB" w14:textId="4094EC36" w:rsidR="001F4DB6" w:rsidRDefault="001F4DB6" w:rsidP="006A104F">
                    <w:pPr>
                      <w:jc w:val="center"/>
                    </w:pPr>
                    <w:r>
                      <w:fldChar w:fldCharType="begin"/>
                    </w:r>
                    <w:r>
                      <w:instrText xml:space="preserve"> PAGE   \* MERGEFORMAT </w:instrText>
                    </w:r>
                    <w:r>
                      <w:fldChar w:fldCharType="separate"/>
                    </w:r>
                    <w:r>
                      <w:rPr>
                        <w:noProof/>
                      </w:rPr>
                      <w:t>1</w:t>
                    </w:r>
                    <w:r>
                      <w:rPr>
                        <w:noProof/>
                      </w:rPr>
                      <w:fldChar w:fldCharType="end"/>
                    </w:r>
                    <w:r w:rsidR="00A35221">
                      <w:rPr>
                        <w:noProof/>
                      </w:rPr>
                      <w:t xml:space="preserve"> </w:t>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t xml:space="preserve">Mine Land Rehabilitation Authority </w:t>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56F" w14:textId="4C67619C" w:rsidR="00EA5F3F" w:rsidRDefault="00EA5F3F" w:rsidP="0016564C">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8250" behindDoc="0" locked="0" layoutInCell="1" allowOverlap="1" wp14:anchorId="42A3540B" wp14:editId="4C1772B3">
              <wp:simplePos x="0" y="0"/>
              <wp:positionH relativeFrom="page">
                <wp:align>left</wp:align>
              </wp:positionH>
              <wp:positionV relativeFrom="paragraph">
                <wp:posOffset>57150</wp:posOffset>
              </wp:positionV>
              <wp:extent cx="7562850" cy="539750"/>
              <wp:effectExtent l="0" t="0" r="0" b="0"/>
              <wp:wrapNone/>
              <wp:docPr id="705492907" name="Rectangle 1"/>
              <wp:cNvGraphicFramePr/>
              <a:graphic xmlns:a="http://schemas.openxmlformats.org/drawingml/2006/main">
                <a:graphicData uri="http://schemas.microsoft.com/office/word/2010/wordprocessingShape">
                  <wps:wsp>
                    <wps:cNvSpPr/>
                    <wps:spPr>
                      <a:xfrm>
                        <a:off x="0" y="0"/>
                        <a:ext cx="7562850" cy="539750"/>
                      </a:xfrm>
                      <a:prstGeom prst="rect">
                        <a:avLst/>
                      </a:prstGeom>
                      <a:solidFill>
                        <a:srgbClr val="021D5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420BDC" w14:textId="432CC062" w:rsidR="00EA5F3F" w:rsidRDefault="00EA5F3F" w:rsidP="006A104F">
                          <w:pPr>
                            <w:jc w:val="center"/>
                          </w:pPr>
                          <w:r>
                            <w:fldChar w:fldCharType="begin"/>
                          </w:r>
                          <w:r>
                            <w:instrText xml:space="preserve"> PAGE   \* MERGEFORMAT </w:instrText>
                          </w:r>
                          <w:r>
                            <w:fldChar w:fldCharType="separate"/>
                          </w:r>
                          <w:r>
                            <w:rPr>
                              <w:noProof/>
                            </w:rPr>
                            <w:t>1</w:t>
                          </w:r>
                          <w:r>
                            <w:rPr>
                              <w:noProof/>
                            </w:rPr>
                            <w:fldChar w:fldCharType="end"/>
                          </w:r>
                          <w:r w:rsidR="00A35221">
                            <w:rPr>
                              <w:noProof/>
                            </w:rPr>
                            <w:t xml:space="preserve"> </w:t>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t>Mine Land Rehabilitation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540B" id="_x0000_s1030" style="position:absolute;left:0;text-align:left;margin-left:0;margin-top:4.5pt;width:595.5pt;height:42.5pt;z-index:25165825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" fillcolor="#021d5e" stroked="f" strokeweight="1pt">
              <v:textbox>
                <w:txbxContent>
                  <w:p w14:paraId="55420BDC" w14:textId="432CC062" w:rsidR="00EA5F3F" w:rsidRDefault="00EA5F3F" w:rsidP="006A104F">
                    <w:pPr>
                      <w:jc w:val="center"/>
                    </w:pPr>
                    <w:r>
                      <w:fldChar w:fldCharType="begin"/>
                    </w:r>
                    <w:r>
                      <w:instrText xml:space="preserve"> PAGE   \* MERGEFORMAT </w:instrText>
                    </w:r>
                    <w:r>
                      <w:fldChar w:fldCharType="separate"/>
                    </w:r>
                    <w:r>
                      <w:rPr>
                        <w:noProof/>
                      </w:rPr>
                      <w:t>1</w:t>
                    </w:r>
                    <w:r>
                      <w:rPr>
                        <w:noProof/>
                      </w:rPr>
                      <w:fldChar w:fldCharType="end"/>
                    </w:r>
                    <w:r w:rsidR="00A35221">
                      <w:rPr>
                        <w:noProof/>
                      </w:rPr>
                      <w:t xml:space="preserve"> </w:t>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r>
                    <w:r w:rsidR="00A35221">
                      <w:rPr>
                        <w:noProof/>
                      </w:rPr>
                      <w:tab/>
                      <w:t>Mine Land Rehabilitation Authority</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5ADFD928" wp14:editId="57EEFFE0">
              <wp:simplePos x="0" y="0"/>
              <wp:positionH relativeFrom="page">
                <wp:align>right</wp:align>
              </wp:positionH>
              <wp:positionV relativeFrom="paragraph">
                <wp:posOffset>-180975</wp:posOffset>
              </wp:positionV>
              <wp:extent cx="15116175" cy="269875"/>
              <wp:effectExtent l="0" t="0" r="9525" b="0"/>
              <wp:wrapNone/>
              <wp:docPr id="901879923" name="Rectangle 2"/>
              <wp:cNvGraphicFramePr/>
              <a:graphic xmlns:a="http://schemas.openxmlformats.org/drawingml/2006/main">
                <a:graphicData uri="http://schemas.microsoft.com/office/word/2010/wordprocessingShape">
                  <wps:wsp>
                    <wps:cNvSpPr/>
                    <wps:spPr>
                      <a:xfrm>
                        <a:off x="0" y="0"/>
                        <a:ext cx="15116175" cy="269875"/>
                      </a:xfrm>
                      <a:prstGeom prst="rect">
                        <a:avLst/>
                      </a:prstGeom>
                      <a:solidFill>
                        <a:srgbClr val="D4DB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02AF9" id="Rectangle 2" o:spid="_x0000_s1026" style="position:absolute;margin-left:1139.05pt;margin-top:-14.25pt;width:1190.25pt;height:21.25pt;z-index:2516582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" fillcolor="#d4dbe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6FAC" w14:textId="77777777" w:rsidR="00C674BF" w:rsidRDefault="00C674BF" w:rsidP="00050977">
      <w:pPr>
        <w:spacing w:after="0" w:line="240" w:lineRule="auto"/>
      </w:pPr>
      <w:r>
        <w:separator/>
      </w:r>
    </w:p>
  </w:footnote>
  <w:footnote w:type="continuationSeparator" w:id="0">
    <w:p w14:paraId="057E1096" w14:textId="77777777" w:rsidR="00C674BF" w:rsidRDefault="00C674BF" w:rsidP="00050977">
      <w:pPr>
        <w:spacing w:after="0" w:line="240" w:lineRule="auto"/>
      </w:pPr>
      <w:r>
        <w:continuationSeparator/>
      </w:r>
    </w:p>
  </w:footnote>
  <w:footnote w:id="1">
    <w:p w14:paraId="68483D2F" w14:textId="3A91CFDD" w:rsidR="00705B9D" w:rsidRDefault="00705B9D" w:rsidP="00705B9D">
      <w:pPr>
        <w:pStyle w:val="FootnoteText"/>
      </w:pPr>
      <w:r>
        <w:rPr>
          <w:rStyle w:val="FootnoteReference"/>
        </w:rPr>
        <w:footnoteRef/>
      </w:r>
      <w:r>
        <w:t xml:space="preserve"> </w:t>
      </w:r>
      <w:r w:rsidR="004937CF" w:rsidRPr="00774971">
        <w:rPr>
          <w:sz w:val="18"/>
          <w:szCs w:val="18"/>
        </w:rPr>
        <w:t>MRSDA, S84AZU(3)</w:t>
      </w:r>
      <w:r w:rsidR="007D60A4" w:rsidRPr="00774971">
        <w:rPr>
          <w:sz w:val="18"/>
          <w:szCs w:val="18"/>
        </w:rPr>
        <w:t>(e)</w:t>
      </w:r>
    </w:p>
  </w:footnote>
  <w:footnote w:id="2">
    <w:p w14:paraId="3855A53F" w14:textId="7B693762" w:rsidR="004937CF" w:rsidRDefault="004937CF">
      <w:pPr>
        <w:pStyle w:val="FootnoteText"/>
      </w:pPr>
      <w:r>
        <w:rPr>
          <w:rStyle w:val="FootnoteReference"/>
        </w:rPr>
        <w:footnoteRef/>
      </w:r>
      <w:r>
        <w:t xml:space="preserve"> </w:t>
      </w:r>
      <w:r>
        <w:rPr>
          <w:rFonts w:cs="Arial"/>
          <w:sz w:val="18"/>
          <w:szCs w:val="18"/>
        </w:rPr>
        <w:t>MRSDA, S84AZU(3)(c)</w:t>
      </w:r>
    </w:p>
  </w:footnote>
  <w:footnote w:id="3">
    <w:p w14:paraId="36962564" w14:textId="6454E5AB" w:rsidR="00A623A3" w:rsidRDefault="00A623A3">
      <w:pPr>
        <w:pStyle w:val="FootnoteText"/>
      </w:pPr>
      <w:r>
        <w:rPr>
          <w:rStyle w:val="FootnoteReference"/>
        </w:rPr>
        <w:footnoteRef/>
      </w:r>
      <w:r>
        <w:t xml:space="preserve"> </w:t>
      </w:r>
      <w:r w:rsidRPr="0004270C">
        <w:rPr>
          <w:rFonts w:cs="Arial"/>
          <w:sz w:val="18"/>
          <w:szCs w:val="18"/>
        </w:rPr>
        <w:t>MRSD</w:t>
      </w:r>
      <w:r w:rsidR="0004270C" w:rsidRPr="0004270C">
        <w:rPr>
          <w:rFonts w:cs="Arial"/>
          <w:sz w:val="18"/>
          <w:szCs w:val="18"/>
        </w:rPr>
        <w:t xml:space="preserve"> Re</w:t>
      </w:r>
      <w:r w:rsidR="0004270C">
        <w:rPr>
          <w:rFonts w:cs="Arial"/>
          <w:sz w:val="18"/>
          <w:szCs w:val="18"/>
        </w:rPr>
        <w:t xml:space="preserve">gulations </w:t>
      </w:r>
      <w:r w:rsidR="00835BA8">
        <w:rPr>
          <w:rFonts w:cs="Arial"/>
          <w:sz w:val="18"/>
          <w:szCs w:val="18"/>
        </w:rPr>
        <w:t>64D</w:t>
      </w:r>
    </w:p>
  </w:footnote>
  <w:footnote w:id="4">
    <w:p w14:paraId="3660279D" w14:textId="2EE2ACB0" w:rsidR="00705B9D" w:rsidRPr="00BB295E" w:rsidRDefault="00705B9D" w:rsidP="00705B9D">
      <w:pPr>
        <w:pStyle w:val="FootnoteText"/>
        <w:rPr>
          <w:rFonts w:cs="Arial"/>
          <w:sz w:val="18"/>
          <w:szCs w:val="18"/>
        </w:rPr>
      </w:pPr>
      <w:r w:rsidRPr="00BB295E">
        <w:rPr>
          <w:rStyle w:val="FootnoteReference"/>
          <w:rFonts w:cs="Arial"/>
          <w:sz w:val="18"/>
          <w:szCs w:val="18"/>
        </w:rPr>
        <w:footnoteRef/>
      </w:r>
      <w:r w:rsidRPr="00BB295E">
        <w:rPr>
          <w:rFonts w:cs="Arial"/>
          <w:sz w:val="18"/>
          <w:szCs w:val="18"/>
        </w:rPr>
        <w:t xml:space="preserve"> DEECA (2025) </w:t>
      </w:r>
      <w:bookmarkStart w:id="7" w:name="_Hlk207193368"/>
      <w:r w:rsidRPr="00BB295E">
        <w:rPr>
          <w:rFonts w:cs="Arial"/>
          <w:i/>
          <w:iCs/>
          <w:sz w:val="18"/>
          <w:szCs w:val="18"/>
        </w:rPr>
        <w:t>Ministerial Guidelines for preparation of Declared Mine Rehabilitation Plans</w:t>
      </w:r>
      <w:bookmarkEnd w:id="7"/>
      <w:r w:rsidRPr="00BB295E">
        <w:rPr>
          <w:rFonts w:cs="Arial"/>
          <w:sz w:val="18"/>
          <w:szCs w:val="18"/>
        </w:rPr>
        <w:t xml:space="preserve"> (not publicly available</w:t>
      </w:r>
      <w:r w:rsidR="00222E5D">
        <w:rPr>
          <w:rFonts w:cs="Arial"/>
          <w:sz w:val="18"/>
          <w:szCs w:val="18"/>
        </w:rPr>
        <w:t xml:space="preserve"> at the time of this papers </w:t>
      </w:r>
      <w:r w:rsidR="00CE27C8">
        <w:rPr>
          <w:rFonts w:cs="Arial"/>
          <w:sz w:val="18"/>
          <w:szCs w:val="18"/>
        </w:rPr>
        <w:t>release</w:t>
      </w:r>
      <w:r w:rsidRPr="00BB295E">
        <w:rPr>
          <w:rFonts w:cs="Arial"/>
          <w:sz w:val="18"/>
          <w:szCs w:val="18"/>
        </w:rPr>
        <w:t>)</w:t>
      </w:r>
    </w:p>
  </w:footnote>
  <w:footnote w:id="5">
    <w:p w14:paraId="21DC8F53" w14:textId="136BE7C8" w:rsidR="00705B9D" w:rsidRDefault="00705B9D" w:rsidP="00705B9D">
      <w:pPr>
        <w:pStyle w:val="FootnoteText"/>
      </w:pPr>
      <w:r>
        <w:rPr>
          <w:rStyle w:val="FootnoteReference"/>
        </w:rPr>
        <w:footnoteRef/>
      </w:r>
      <w:r>
        <w:t xml:space="preserve"> </w:t>
      </w:r>
      <w:r>
        <w:rPr>
          <w:rFonts w:cs="Arial"/>
          <w:sz w:val="18"/>
          <w:szCs w:val="18"/>
        </w:rPr>
        <w:t>DJPR</w:t>
      </w:r>
      <w:r w:rsidRPr="00BB295E">
        <w:rPr>
          <w:rFonts w:cs="Arial"/>
          <w:sz w:val="18"/>
          <w:szCs w:val="18"/>
        </w:rPr>
        <w:t xml:space="preserve"> (202</w:t>
      </w:r>
      <w:r>
        <w:rPr>
          <w:rFonts w:cs="Arial"/>
          <w:sz w:val="18"/>
          <w:szCs w:val="18"/>
        </w:rPr>
        <w:t>2</w:t>
      </w:r>
      <w:r w:rsidRPr="00BB295E">
        <w:rPr>
          <w:rFonts w:cs="Arial"/>
          <w:sz w:val="18"/>
          <w:szCs w:val="18"/>
        </w:rPr>
        <w:t xml:space="preserve">) </w:t>
      </w:r>
      <w:r w:rsidRPr="00150AD5">
        <w:rPr>
          <w:rFonts w:cs="Arial"/>
          <w:i/>
          <w:iCs/>
          <w:sz w:val="18"/>
          <w:szCs w:val="18"/>
        </w:rPr>
        <w:t>Regulatory Impact Statement — Mineral Resources (Sustainable Development) (Mineral Industries) Regulations 202</w:t>
      </w:r>
      <w:r>
        <w:rPr>
          <w:rFonts w:cs="Arial"/>
          <w:i/>
          <w:iCs/>
          <w:sz w:val="18"/>
          <w:szCs w:val="18"/>
        </w:rPr>
        <w:t>2</w:t>
      </w:r>
      <w:r>
        <w:rPr>
          <w:rFonts w:cs="Arial"/>
          <w:sz w:val="18"/>
          <w:szCs w:val="18"/>
        </w:rPr>
        <w:t xml:space="preserve">, </w:t>
      </w:r>
      <w:hyperlink r:id="rId1" w:history="1">
        <w:r w:rsidR="002D70C7" w:rsidRPr="00CA1B1D">
          <w:rPr>
            <w:rStyle w:val="Hyperlink"/>
            <w:rFonts w:cs="Arial"/>
            <w:sz w:val="18"/>
            <w:szCs w:val="18"/>
          </w:rPr>
          <w:t>https://earthresources.vic.gov.au/__data/assets/pdf_file/0004/895693/Regulatory-Impact-Statement-Proposed-Mineral-Resources-Sustainable-Development-Mineral-Industries-Amendment-Regulations-2022.pdf</w:t>
        </w:r>
      </w:hyperlink>
      <w:r w:rsidR="002D70C7">
        <w:rPr>
          <w:rFonts w:cs="Arial"/>
          <w:sz w:val="18"/>
          <w:szCs w:val="18"/>
        </w:rPr>
        <w:t xml:space="preserve"> </w:t>
      </w:r>
    </w:p>
  </w:footnote>
  <w:footnote w:id="6">
    <w:p w14:paraId="25731C1A" w14:textId="0B41596F" w:rsidR="00705B9D" w:rsidRDefault="00705B9D" w:rsidP="00705B9D">
      <w:pPr>
        <w:pStyle w:val="FootnoteText"/>
      </w:pPr>
      <w:r>
        <w:rPr>
          <w:rStyle w:val="FootnoteReference"/>
        </w:rPr>
        <w:footnoteRef/>
      </w:r>
      <w:r>
        <w:t xml:space="preserve"> </w:t>
      </w:r>
      <w:r w:rsidR="003039FD">
        <w:rPr>
          <w:sz w:val="18"/>
          <w:szCs w:val="18"/>
        </w:rPr>
        <w:t xml:space="preserve">IGF </w:t>
      </w:r>
      <w:r w:rsidRPr="00BB295E">
        <w:rPr>
          <w:sz w:val="18"/>
          <w:szCs w:val="18"/>
        </w:rPr>
        <w:t xml:space="preserve">(2023) </w:t>
      </w:r>
      <w:r w:rsidRPr="00BB295E">
        <w:rPr>
          <w:i/>
          <w:iCs/>
          <w:sz w:val="18"/>
          <w:szCs w:val="18"/>
        </w:rPr>
        <w:t>Relinquishment of Closed Mine Sites: Policy steps for governments</w:t>
      </w:r>
      <w:r>
        <w:rPr>
          <w:sz w:val="18"/>
          <w:szCs w:val="18"/>
        </w:rPr>
        <w:t>,</w:t>
      </w:r>
      <w:r w:rsidRPr="00BB295E">
        <w:rPr>
          <w:sz w:val="18"/>
          <w:szCs w:val="18"/>
        </w:rPr>
        <w:t xml:space="preserve"> </w:t>
      </w:r>
      <w:hyperlink r:id="rId2" w:history="1">
        <w:r w:rsidR="002D70C7" w:rsidRPr="00CA1B1D">
          <w:rPr>
            <w:rStyle w:val="Hyperlink"/>
            <w:sz w:val="18"/>
            <w:szCs w:val="18"/>
          </w:rPr>
          <w:t>https://www.iisd.org/system/files/2023-09/relinquishment-closed-mines-policy-steps-for-governments-en.pdf</w:t>
        </w:r>
      </w:hyperlink>
      <w:r w:rsidR="002D70C7">
        <w:rPr>
          <w:sz w:val="18"/>
          <w:szCs w:val="18"/>
        </w:rPr>
        <w:t xml:space="preserve"> </w:t>
      </w:r>
    </w:p>
  </w:footnote>
  <w:footnote w:id="7">
    <w:p w14:paraId="5A388571" w14:textId="5B8F808A" w:rsidR="00CB7B24" w:rsidRDefault="00CB7B24" w:rsidP="00CB7B24">
      <w:pPr>
        <w:pStyle w:val="FootnoteText"/>
      </w:pPr>
      <w:r>
        <w:rPr>
          <w:rStyle w:val="FootnoteReference"/>
        </w:rPr>
        <w:footnoteRef/>
      </w:r>
      <w:r>
        <w:t xml:space="preserve"> </w:t>
      </w:r>
      <w:r w:rsidRPr="00EA2B67">
        <w:rPr>
          <w:sz w:val="18"/>
          <w:szCs w:val="18"/>
        </w:rPr>
        <w:t xml:space="preserve">Tiemann, C., MacDonald, V., Young, R. and Dixon, K. (2022), </w:t>
      </w:r>
      <w:r w:rsidRPr="007762C1">
        <w:rPr>
          <w:i/>
          <w:iCs/>
          <w:sz w:val="18"/>
          <w:szCs w:val="18"/>
        </w:rPr>
        <w:t>Rehabilitation and mine closure policies creating a pathway to relinquishment: an Australian perspective.</w:t>
      </w:r>
      <w:r w:rsidRPr="00EA2B67">
        <w:rPr>
          <w:sz w:val="18"/>
          <w:szCs w:val="18"/>
        </w:rPr>
        <w:t xml:space="preserve"> Restor Ecol, 30:e13785.</w:t>
      </w:r>
      <w:hyperlink r:id="rId3" w:history="1">
        <w:r w:rsidR="00125C50" w:rsidRPr="00E336ED">
          <w:rPr>
            <w:rStyle w:val="Hyperlink"/>
            <w:sz w:val="18"/>
            <w:szCs w:val="18"/>
          </w:rPr>
          <w:t>https://doi.org/10.1111/rec.13785</w:t>
        </w:r>
      </w:hyperlink>
    </w:p>
  </w:footnote>
  <w:footnote w:id="8">
    <w:p w14:paraId="1C8133C8" w14:textId="4EE634FF" w:rsidR="002D65D6" w:rsidRDefault="002D65D6" w:rsidP="002D65D6">
      <w:pPr>
        <w:pStyle w:val="FootnoteText"/>
      </w:pPr>
      <w:r>
        <w:rPr>
          <w:rStyle w:val="FootnoteReference"/>
        </w:rPr>
        <w:footnoteRef/>
      </w:r>
      <w:r>
        <w:t xml:space="preserve"> </w:t>
      </w:r>
      <w:r>
        <w:rPr>
          <w:sz w:val="18"/>
          <w:szCs w:val="18"/>
        </w:rPr>
        <w:t xml:space="preserve">IGF </w:t>
      </w:r>
      <w:r w:rsidRPr="00BB295E">
        <w:rPr>
          <w:sz w:val="18"/>
          <w:szCs w:val="18"/>
        </w:rPr>
        <w:t xml:space="preserve">(2023) </w:t>
      </w:r>
      <w:r w:rsidRPr="00BB295E">
        <w:rPr>
          <w:i/>
          <w:iCs/>
          <w:sz w:val="18"/>
          <w:szCs w:val="18"/>
        </w:rPr>
        <w:t>Relinquishment of Closed Mine Sites: Policy steps for governments</w:t>
      </w:r>
      <w:r>
        <w:rPr>
          <w:sz w:val="18"/>
          <w:szCs w:val="18"/>
        </w:rPr>
        <w:t>,</w:t>
      </w:r>
      <w:r w:rsidRPr="00BB295E">
        <w:rPr>
          <w:sz w:val="18"/>
          <w:szCs w:val="18"/>
        </w:rPr>
        <w:t xml:space="preserve"> </w:t>
      </w:r>
      <w:hyperlink r:id="rId4" w:history="1">
        <w:r w:rsidR="002D70C7" w:rsidRPr="00CA1B1D">
          <w:rPr>
            <w:rStyle w:val="Hyperlink"/>
            <w:sz w:val="18"/>
            <w:szCs w:val="18"/>
          </w:rPr>
          <w:t>https://www.iisd.org/system/files/2023-09/relinquishment-closed-mines-policy-steps-for-governments-en.pdf</w:t>
        </w:r>
      </w:hyperlink>
      <w:r w:rsidR="002D70C7">
        <w:rPr>
          <w:sz w:val="18"/>
          <w:szCs w:val="18"/>
        </w:rPr>
        <w:t xml:space="preserve"> </w:t>
      </w:r>
    </w:p>
  </w:footnote>
  <w:footnote w:id="9">
    <w:p w14:paraId="4687B62E" w14:textId="77777777" w:rsidR="00F11517" w:rsidRDefault="00F11517" w:rsidP="00F11517">
      <w:pPr>
        <w:pStyle w:val="FootnoteText"/>
      </w:pPr>
      <w:r>
        <w:rPr>
          <w:rStyle w:val="FootnoteReference"/>
        </w:rPr>
        <w:footnoteRef/>
      </w:r>
      <w:r>
        <w:t xml:space="preserve"> </w:t>
      </w:r>
      <w:r w:rsidRPr="00EA2B67">
        <w:rPr>
          <w:sz w:val="18"/>
          <w:szCs w:val="18"/>
        </w:rPr>
        <w:t xml:space="preserve">Tiemann, C., MacDonald, V., Young, R. and Dixon, K. (2022), </w:t>
      </w:r>
      <w:r w:rsidRPr="007762C1">
        <w:rPr>
          <w:i/>
          <w:iCs/>
          <w:sz w:val="18"/>
          <w:szCs w:val="18"/>
        </w:rPr>
        <w:t>Rehabilitation and mine closure policies creating a pathway to relinquishment: an Australian perspective.</w:t>
      </w:r>
      <w:r w:rsidRPr="00EA2B67">
        <w:rPr>
          <w:sz w:val="18"/>
          <w:szCs w:val="18"/>
        </w:rPr>
        <w:t xml:space="preserve"> Restor Ecol, 30:e13785.</w:t>
      </w:r>
      <w:hyperlink r:id="rId5" w:history="1">
        <w:r w:rsidRPr="00E336ED">
          <w:rPr>
            <w:rStyle w:val="Hyperlink"/>
            <w:sz w:val="18"/>
            <w:szCs w:val="18"/>
          </w:rPr>
          <w:t>https://doi.org/10.1111/rec.13785</w:t>
        </w:r>
      </w:hyperlink>
    </w:p>
  </w:footnote>
  <w:footnote w:id="10">
    <w:p w14:paraId="3AF87F35" w14:textId="13E59348" w:rsidR="00F4134E" w:rsidRDefault="00F4134E">
      <w:pPr>
        <w:pStyle w:val="FootnoteText"/>
      </w:pPr>
      <w:r>
        <w:rPr>
          <w:rStyle w:val="FootnoteReference"/>
        </w:rPr>
        <w:footnoteRef/>
      </w:r>
      <w:r>
        <w:t xml:space="preserve"> </w:t>
      </w:r>
      <w:r w:rsidR="00CA21C7" w:rsidRPr="00774971">
        <w:rPr>
          <w:sz w:val="18"/>
          <w:szCs w:val="18"/>
        </w:rPr>
        <w:t>MRSDA, S84AZ</w:t>
      </w:r>
      <w:r w:rsidR="00CA21C7">
        <w:rPr>
          <w:sz w:val="18"/>
          <w:szCs w:val="18"/>
        </w:rPr>
        <w:t>ZB</w:t>
      </w:r>
    </w:p>
  </w:footnote>
  <w:footnote w:id="11">
    <w:p w14:paraId="01C845B8" w14:textId="4D11CB50" w:rsidR="00FA7205" w:rsidRDefault="00FA7205">
      <w:pPr>
        <w:pStyle w:val="FootnoteText"/>
      </w:pPr>
      <w:r>
        <w:rPr>
          <w:rStyle w:val="FootnoteReference"/>
        </w:rPr>
        <w:footnoteRef/>
      </w:r>
      <w:r>
        <w:t xml:space="preserve"> </w:t>
      </w:r>
      <w:r w:rsidRPr="00FA7205">
        <w:rPr>
          <w:sz w:val="18"/>
          <w:szCs w:val="18"/>
        </w:rPr>
        <w:t xml:space="preserve">DEECA (2025) </w:t>
      </w:r>
      <w:r w:rsidRPr="00774971">
        <w:rPr>
          <w:i/>
          <w:iCs/>
          <w:sz w:val="18"/>
          <w:szCs w:val="18"/>
        </w:rPr>
        <w:t>Ministerial Guidelines for preparation of Declared Mine Rehabilitation Plans</w:t>
      </w:r>
      <w:r w:rsidRPr="00FA7205">
        <w:rPr>
          <w:sz w:val="18"/>
          <w:szCs w:val="18"/>
        </w:rPr>
        <w:t xml:space="preserve"> (not publicly available)</w:t>
      </w:r>
    </w:p>
  </w:footnote>
  <w:footnote w:id="12">
    <w:p w14:paraId="5AB496BA" w14:textId="04FD9D11" w:rsidR="0049704D" w:rsidRDefault="0049704D">
      <w:pPr>
        <w:pStyle w:val="FootnoteText"/>
      </w:pPr>
      <w:r>
        <w:rPr>
          <w:rStyle w:val="FootnoteReference"/>
        </w:rPr>
        <w:footnoteRef/>
      </w:r>
      <w:r>
        <w:t xml:space="preserve"> </w:t>
      </w:r>
      <w:r w:rsidR="003039FD">
        <w:rPr>
          <w:sz w:val="18"/>
          <w:szCs w:val="18"/>
        </w:rPr>
        <w:t>IGF</w:t>
      </w:r>
      <w:r w:rsidRPr="00BB295E">
        <w:rPr>
          <w:sz w:val="18"/>
          <w:szCs w:val="18"/>
        </w:rPr>
        <w:t xml:space="preserve"> (2023) </w:t>
      </w:r>
      <w:r w:rsidRPr="00BB295E">
        <w:rPr>
          <w:i/>
          <w:iCs/>
          <w:sz w:val="18"/>
          <w:szCs w:val="18"/>
        </w:rPr>
        <w:t>Relinquishment of Closed Mine Sites: Policy steps for governments</w:t>
      </w:r>
      <w:r>
        <w:rPr>
          <w:sz w:val="18"/>
          <w:szCs w:val="18"/>
        </w:rPr>
        <w:t>,</w:t>
      </w:r>
      <w:r w:rsidRPr="00BB295E">
        <w:rPr>
          <w:sz w:val="18"/>
          <w:szCs w:val="18"/>
        </w:rPr>
        <w:t xml:space="preserve"> </w:t>
      </w:r>
      <w:hyperlink r:id="rId6" w:history="1">
        <w:r w:rsidR="009F4F56" w:rsidRPr="00FD379D">
          <w:rPr>
            <w:rStyle w:val="Hyperlink"/>
            <w:sz w:val="18"/>
            <w:szCs w:val="18"/>
          </w:rPr>
          <w:t>https://www.iisd.org/system/files/2023-09/relinquishment-closed-mines-policy-steps-for-governments-en.pdf</w:t>
        </w:r>
      </w:hyperlink>
      <w:r w:rsidR="009F4F56">
        <w:t xml:space="preserve"> </w:t>
      </w:r>
    </w:p>
  </w:footnote>
  <w:footnote w:id="13">
    <w:p w14:paraId="36A3BC8C" w14:textId="54802A0D" w:rsidR="00473839" w:rsidRPr="00FF0458" w:rsidRDefault="00473839">
      <w:pPr>
        <w:pStyle w:val="FootnoteText"/>
      </w:pPr>
      <w:r>
        <w:rPr>
          <w:rStyle w:val="FootnoteReference"/>
        </w:rPr>
        <w:footnoteRef/>
      </w:r>
      <w:r>
        <w:t xml:space="preserve"> </w:t>
      </w:r>
      <w:r>
        <w:rPr>
          <w:sz w:val="18"/>
          <w:szCs w:val="18"/>
        </w:rPr>
        <w:t>Mine Land Rehabilitation Authority (20</w:t>
      </w:r>
      <w:r w:rsidR="00FF0458">
        <w:rPr>
          <w:sz w:val="18"/>
          <w:szCs w:val="18"/>
        </w:rPr>
        <w:t>2</w:t>
      </w:r>
      <w:r w:rsidR="00FC5047">
        <w:rPr>
          <w:sz w:val="18"/>
          <w:szCs w:val="18"/>
        </w:rPr>
        <w:t>5</w:t>
      </w:r>
      <w:r w:rsidR="00FF0458">
        <w:rPr>
          <w:sz w:val="18"/>
          <w:szCs w:val="18"/>
        </w:rPr>
        <w:t xml:space="preserve">) </w:t>
      </w:r>
      <w:r w:rsidR="00FF0458">
        <w:rPr>
          <w:i/>
          <w:iCs/>
          <w:sz w:val="18"/>
          <w:szCs w:val="18"/>
        </w:rPr>
        <w:t>Vocabulary</w:t>
      </w:r>
    </w:p>
  </w:footnote>
  <w:footnote w:id="14">
    <w:p w14:paraId="3B17FA1C" w14:textId="024DD8C1" w:rsidR="00BB7F62" w:rsidRDefault="00BB7F62">
      <w:pPr>
        <w:pStyle w:val="FootnoteText"/>
      </w:pPr>
      <w:r>
        <w:rPr>
          <w:rStyle w:val="FootnoteReference"/>
        </w:rPr>
        <w:footnoteRef/>
      </w:r>
      <w:r>
        <w:t xml:space="preserve"> </w:t>
      </w:r>
      <w:r w:rsidRPr="0008503F">
        <w:rPr>
          <w:sz w:val="18"/>
          <w:szCs w:val="18"/>
        </w:rPr>
        <w:t xml:space="preserve">Queensland Government (2024) </w:t>
      </w:r>
      <w:r w:rsidRPr="0008503F">
        <w:rPr>
          <w:i/>
          <w:iCs/>
          <w:sz w:val="18"/>
          <w:szCs w:val="18"/>
        </w:rPr>
        <w:t xml:space="preserve">Residual Risk Assessment Guideline </w:t>
      </w:r>
      <w:r>
        <w:rPr>
          <w:i/>
          <w:iCs/>
          <w:sz w:val="18"/>
          <w:szCs w:val="18"/>
        </w:rPr>
        <w:t>–</w:t>
      </w:r>
      <w:r w:rsidRPr="0008503F">
        <w:rPr>
          <w:i/>
          <w:iCs/>
          <w:sz w:val="18"/>
          <w:szCs w:val="18"/>
        </w:rPr>
        <w:t xml:space="preserve"> Interim</w:t>
      </w:r>
      <w:r>
        <w:rPr>
          <w:sz w:val="18"/>
          <w:szCs w:val="18"/>
        </w:rPr>
        <w:t xml:space="preserve"> (</w:t>
      </w:r>
      <w:r w:rsidRPr="00022432">
        <w:rPr>
          <w:sz w:val="18"/>
          <w:szCs w:val="18"/>
        </w:rPr>
        <w:t>ESR/2020/5433</w:t>
      </w:r>
      <w:r>
        <w:rPr>
          <w:sz w:val="18"/>
          <w:szCs w:val="18"/>
        </w:rPr>
        <w:t xml:space="preserve">, </w:t>
      </w:r>
      <w:r w:rsidRPr="00022432">
        <w:rPr>
          <w:sz w:val="18"/>
          <w:szCs w:val="18"/>
        </w:rPr>
        <w:t>Version 1.02</w:t>
      </w:r>
      <w:r>
        <w:rPr>
          <w:sz w:val="18"/>
          <w:szCs w:val="18"/>
        </w:rPr>
        <w:t xml:space="preserve">) </w:t>
      </w:r>
      <w:hyperlink r:id="rId7" w:history="1">
        <w:r w:rsidR="009F4F56" w:rsidRPr="00CD3069">
          <w:rPr>
            <w:rStyle w:val="Hyperlink"/>
            <w:sz w:val="18"/>
            <w:szCs w:val="18"/>
          </w:rPr>
          <w:t>https://www.des.qld.gov.au/policies?a=272936:policy_registry/era-gl-residual-risk-assessment.pdf</w:t>
        </w:r>
      </w:hyperlink>
      <w:r w:rsidR="009F4F56">
        <w:rPr>
          <w:sz w:val="18"/>
          <w:szCs w:val="18"/>
        </w:rPr>
        <w:t xml:space="preserve"> </w:t>
      </w:r>
      <w:hyperlink r:id="rId8" w:history="1">
        <w:r>
          <w:rPr>
            <w:rStyle w:val="Hyperlink"/>
          </w:rPr>
          <w:t>https://www.des.qld.gov.au/policies?a=272936:policy_registry/era-gl-residual-risk-assessment.pdf</w:t>
        </w:r>
      </w:hyperlink>
    </w:p>
  </w:footnote>
  <w:footnote w:id="15">
    <w:p w14:paraId="29E9CC54" w14:textId="3D14E030" w:rsidR="00321AE9" w:rsidRDefault="00321AE9" w:rsidP="0012563E">
      <w:pPr>
        <w:pStyle w:val="FootnoteText"/>
      </w:pPr>
      <w:r>
        <w:rPr>
          <w:rStyle w:val="FootnoteReference"/>
        </w:rPr>
        <w:footnoteRef/>
      </w:r>
      <w:r>
        <w:t xml:space="preserve"> </w:t>
      </w:r>
      <w:r w:rsidR="00660957" w:rsidRPr="0008503F">
        <w:rPr>
          <w:sz w:val="18"/>
          <w:szCs w:val="18"/>
        </w:rPr>
        <w:t xml:space="preserve">Queensland Government (2024) </w:t>
      </w:r>
      <w:r w:rsidR="00660957" w:rsidRPr="0008503F">
        <w:rPr>
          <w:i/>
          <w:iCs/>
          <w:sz w:val="18"/>
          <w:szCs w:val="18"/>
        </w:rPr>
        <w:t xml:space="preserve">Residual Risk Assessment Guideline </w:t>
      </w:r>
      <w:r w:rsidR="00660957">
        <w:rPr>
          <w:i/>
          <w:iCs/>
          <w:sz w:val="18"/>
          <w:szCs w:val="18"/>
        </w:rPr>
        <w:t>–</w:t>
      </w:r>
      <w:r w:rsidR="00660957" w:rsidRPr="0008503F">
        <w:rPr>
          <w:i/>
          <w:iCs/>
          <w:sz w:val="18"/>
          <w:szCs w:val="18"/>
        </w:rPr>
        <w:t xml:space="preserve"> Interim</w:t>
      </w:r>
      <w:r w:rsidR="00660957">
        <w:rPr>
          <w:sz w:val="18"/>
          <w:szCs w:val="18"/>
        </w:rPr>
        <w:t xml:space="preserve"> (</w:t>
      </w:r>
      <w:r w:rsidR="00660957" w:rsidRPr="00022432">
        <w:rPr>
          <w:sz w:val="18"/>
          <w:szCs w:val="18"/>
        </w:rPr>
        <w:t>ESR/2020/5433</w:t>
      </w:r>
      <w:r w:rsidR="00660957">
        <w:rPr>
          <w:sz w:val="18"/>
          <w:szCs w:val="18"/>
        </w:rPr>
        <w:t xml:space="preserve">, </w:t>
      </w:r>
      <w:r w:rsidR="00660957" w:rsidRPr="00022432">
        <w:rPr>
          <w:sz w:val="18"/>
          <w:szCs w:val="18"/>
        </w:rPr>
        <w:t>Version 1.02</w:t>
      </w:r>
      <w:r w:rsidR="00660957">
        <w:rPr>
          <w:sz w:val="18"/>
          <w:szCs w:val="18"/>
        </w:rPr>
        <w:t xml:space="preserve">) </w:t>
      </w:r>
      <w:hyperlink r:id="rId9" w:history="1">
        <w:r w:rsidR="00660957" w:rsidRPr="00CD3069">
          <w:rPr>
            <w:rStyle w:val="Hyperlink"/>
            <w:sz w:val="18"/>
            <w:szCs w:val="18"/>
          </w:rPr>
          <w:t>https://www.des.qld.gov.au/policies?a=272936:policy_registry/era-gl-residual-risk-assessment.pdf</w:t>
        </w:r>
      </w:hyperlink>
    </w:p>
  </w:footnote>
  <w:footnote w:id="16">
    <w:p w14:paraId="73F6A752" w14:textId="57907EFE" w:rsidR="001808E3" w:rsidRDefault="001808E3">
      <w:pPr>
        <w:pStyle w:val="FootnoteText"/>
      </w:pPr>
      <w:r>
        <w:rPr>
          <w:rStyle w:val="FootnoteReference"/>
        </w:rPr>
        <w:footnoteRef/>
      </w:r>
      <w:r>
        <w:t xml:space="preserve"> </w:t>
      </w:r>
      <w:r w:rsidR="00660957" w:rsidRPr="0008503F">
        <w:rPr>
          <w:sz w:val="18"/>
          <w:szCs w:val="18"/>
        </w:rPr>
        <w:t xml:space="preserve">Queensland Government (2024) </w:t>
      </w:r>
      <w:r w:rsidR="00660957" w:rsidRPr="0008503F">
        <w:rPr>
          <w:i/>
          <w:iCs/>
          <w:sz w:val="18"/>
          <w:szCs w:val="18"/>
        </w:rPr>
        <w:t xml:space="preserve">Residual Risk Assessment Guideline </w:t>
      </w:r>
      <w:r w:rsidR="00660957">
        <w:rPr>
          <w:i/>
          <w:iCs/>
          <w:sz w:val="18"/>
          <w:szCs w:val="18"/>
        </w:rPr>
        <w:t>–</w:t>
      </w:r>
      <w:r w:rsidR="00660957" w:rsidRPr="0008503F">
        <w:rPr>
          <w:i/>
          <w:iCs/>
          <w:sz w:val="18"/>
          <w:szCs w:val="18"/>
        </w:rPr>
        <w:t xml:space="preserve"> Interim</w:t>
      </w:r>
      <w:r w:rsidR="00660957">
        <w:rPr>
          <w:sz w:val="18"/>
          <w:szCs w:val="18"/>
        </w:rPr>
        <w:t xml:space="preserve"> (</w:t>
      </w:r>
      <w:r w:rsidR="00660957" w:rsidRPr="00022432">
        <w:rPr>
          <w:sz w:val="18"/>
          <w:szCs w:val="18"/>
        </w:rPr>
        <w:t>ESR/2020/5433</w:t>
      </w:r>
      <w:r w:rsidR="00660957">
        <w:rPr>
          <w:sz w:val="18"/>
          <w:szCs w:val="18"/>
        </w:rPr>
        <w:t xml:space="preserve">, </w:t>
      </w:r>
      <w:r w:rsidR="00660957" w:rsidRPr="00022432">
        <w:rPr>
          <w:sz w:val="18"/>
          <w:szCs w:val="18"/>
        </w:rPr>
        <w:t>Version 1.02</w:t>
      </w:r>
      <w:r w:rsidR="00660957">
        <w:rPr>
          <w:sz w:val="18"/>
          <w:szCs w:val="18"/>
        </w:rPr>
        <w:t xml:space="preserve">) </w:t>
      </w:r>
      <w:hyperlink r:id="rId10" w:history="1">
        <w:r w:rsidR="00660957" w:rsidRPr="00CD3069">
          <w:rPr>
            <w:rStyle w:val="Hyperlink"/>
            <w:sz w:val="18"/>
            <w:szCs w:val="18"/>
          </w:rPr>
          <w:t>https://www.des.qld.gov.au/policies?a=272936:policy_registry/era-gl-residual-risk-assessment.pdf</w:t>
        </w:r>
      </w:hyperlink>
    </w:p>
  </w:footnote>
  <w:footnote w:id="17">
    <w:p w14:paraId="1623A2EE" w14:textId="5C2F353B" w:rsidR="00C713D8" w:rsidRDefault="00C713D8" w:rsidP="00C713D8">
      <w:pPr>
        <w:pStyle w:val="FootnoteText"/>
      </w:pPr>
      <w:r>
        <w:rPr>
          <w:rStyle w:val="FootnoteReference"/>
        </w:rPr>
        <w:footnoteRef/>
      </w:r>
      <w:r>
        <w:t xml:space="preserve"> </w:t>
      </w:r>
      <w:r>
        <w:rPr>
          <w:sz w:val="18"/>
          <w:szCs w:val="18"/>
        </w:rPr>
        <w:t xml:space="preserve">IGF </w:t>
      </w:r>
      <w:r w:rsidRPr="00BB295E">
        <w:rPr>
          <w:sz w:val="18"/>
          <w:szCs w:val="18"/>
        </w:rPr>
        <w:t xml:space="preserve">(2023) </w:t>
      </w:r>
      <w:r w:rsidRPr="00BB295E">
        <w:rPr>
          <w:i/>
          <w:iCs/>
          <w:sz w:val="18"/>
          <w:szCs w:val="18"/>
        </w:rPr>
        <w:t>Relinquishment of Closed Mine Sites: Policy steps for governments</w:t>
      </w:r>
      <w:r>
        <w:rPr>
          <w:sz w:val="18"/>
          <w:szCs w:val="18"/>
        </w:rPr>
        <w:t>,</w:t>
      </w:r>
      <w:r w:rsidRPr="00BB295E">
        <w:rPr>
          <w:sz w:val="18"/>
          <w:szCs w:val="18"/>
        </w:rPr>
        <w:t xml:space="preserve"> </w:t>
      </w:r>
      <w:hyperlink r:id="rId11" w:history="1">
        <w:r w:rsidR="0008646D" w:rsidRPr="00CA1B1D">
          <w:rPr>
            <w:rStyle w:val="Hyperlink"/>
            <w:sz w:val="18"/>
            <w:szCs w:val="18"/>
          </w:rPr>
          <w:t>https://www.iisd.org/system/files/2023-09/relinquishment-closed-mines-policy-steps-for-governments-en.pdf</w:t>
        </w:r>
      </w:hyperlink>
      <w:r w:rsidR="0008646D">
        <w:rPr>
          <w:sz w:val="18"/>
          <w:szCs w:val="18"/>
        </w:rPr>
        <w:t xml:space="preserve"> </w:t>
      </w:r>
      <w:r w:rsidR="0008646D" w:rsidRPr="0008646D">
        <w:rPr>
          <w:sz w:val="18"/>
          <w:szCs w:val="18"/>
        </w:rPr>
        <w:t xml:space="preserve"> </w:t>
      </w:r>
      <w:r w:rsidR="0008646D">
        <w:rPr>
          <w:sz w:val="18"/>
          <w:szCs w:val="18"/>
        </w:rPr>
        <w:t xml:space="preserve"> </w:t>
      </w:r>
    </w:p>
  </w:footnote>
  <w:footnote w:id="18">
    <w:p w14:paraId="748187D5" w14:textId="2CA8565C" w:rsidR="000E6F61" w:rsidRDefault="000E6F61">
      <w:pPr>
        <w:pStyle w:val="FootnoteText"/>
      </w:pPr>
      <w:r>
        <w:rPr>
          <w:rStyle w:val="FootnoteReference"/>
        </w:rPr>
        <w:footnoteRef/>
      </w:r>
      <w:r>
        <w:t xml:space="preserve"> </w:t>
      </w:r>
      <w:r w:rsidRPr="004E74D9">
        <w:rPr>
          <w:sz w:val="18"/>
          <w:szCs w:val="18"/>
        </w:rPr>
        <w:t>DEECA (2025) Ministerial Guidelines for preparation of Declared Mine Rehabilitation Plans</w:t>
      </w:r>
    </w:p>
  </w:footnote>
  <w:footnote w:id="19">
    <w:p w14:paraId="08E881DC" w14:textId="6D496B47" w:rsidR="002153BC" w:rsidRDefault="002153BC">
      <w:pPr>
        <w:pStyle w:val="FootnoteText"/>
      </w:pPr>
      <w:r>
        <w:rPr>
          <w:rStyle w:val="FootnoteReference"/>
        </w:rPr>
        <w:footnoteRef/>
      </w:r>
      <w:r>
        <w:t xml:space="preserve"> </w:t>
      </w:r>
      <w:r w:rsidRPr="004E74D9">
        <w:rPr>
          <w:sz w:val="18"/>
          <w:szCs w:val="18"/>
        </w:rPr>
        <w:t>Queensland Government (2018) Managing residual risks in Queensland Discussion Paper</w:t>
      </w:r>
    </w:p>
  </w:footnote>
  <w:footnote w:id="20">
    <w:p w14:paraId="66EB09EA" w14:textId="77777777" w:rsidR="00A9210C" w:rsidRDefault="00A9210C" w:rsidP="00A9210C">
      <w:pPr>
        <w:pStyle w:val="FootnoteText"/>
      </w:pPr>
      <w:r>
        <w:rPr>
          <w:rStyle w:val="FootnoteReference"/>
        </w:rPr>
        <w:footnoteRef/>
      </w:r>
      <w:r>
        <w:t xml:space="preserve"> </w:t>
      </w:r>
      <w:r w:rsidRPr="0008503F">
        <w:rPr>
          <w:sz w:val="18"/>
          <w:szCs w:val="18"/>
        </w:rPr>
        <w:t xml:space="preserve">Queensland Government (2024) </w:t>
      </w:r>
      <w:r w:rsidRPr="0008503F">
        <w:rPr>
          <w:i/>
          <w:iCs/>
          <w:sz w:val="18"/>
          <w:szCs w:val="18"/>
        </w:rPr>
        <w:t xml:space="preserve">Residual Risk Assessment Guideline </w:t>
      </w:r>
      <w:r>
        <w:rPr>
          <w:i/>
          <w:iCs/>
          <w:sz w:val="18"/>
          <w:szCs w:val="18"/>
        </w:rPr>
        <w:t>–</w:t>
      </w:r>
      <w:r w:rsidRPr="0008503F">
        <w:rPr>
          <w:i/>
          <w:iCs/>
          <w:sz w:val="18"/>
          <w:szCs w:val="18"/>
        </w:rPr>
        <w:t xml:space="preserve"> Interim</w:t>
      </w:r>
      <w:r>
        <w:rPr>
          <w:sz w:val="18"/>
          <w:szCs w:val="18"/>
        </w:rPr>
        <w:t xml:space="preserve"> (</w:t>
      </w:r>
      <w:r w:rsidRPr="00022432">
        <w:rPr>
          <w:sz w:val="18"/>
          <w:szCs w:val="18"/>
        </w:rPr>
        <w:t>ESR/2020/5433</w:t>
      </w:r>
      <w:r>
        <w:rPr>
          <w:sz w:val="18"/>
          <w:szCs w:val="18"/>
        </w:rPr>
        <w:t xml:space="preserve">, </w:t>
      </w:r>
      <w:r w:rsidRPr="00022432">
        <w:rPr>
          <w:sz w:val="18"/>
          <w:szCs w:val="18"/>
        </w:rPr>
        <w:t>Version 1.02</w:t>
      </w:r>
      <w:r>
        <w:rPr>
          <w:sz w:val="18"/>
          <w:szCs w:val="18"/>
        </w:rPr>
        <w:t xml:space="preserve">) </w:t>
      </w:r>
      <w:hyperlink r:id="rId12" w:history="1">
        <w:r w:rsidRPr="00CD3069">
          <w:rPr>
            <w:rStyle w:val="Hyperlink"/>
            <w:sz w:val="18"/>
            <w:szCs w:val="18"/>
          </w:rPr>
          <w:t>https://www.des.qld.gov.au/policies?a=272936:policy_registry/era-gl-residual-risk-assessment.pdf</w:t>
        </w:r>
      </w:hyperlink>
    </w:p>
  </w:footnote>
  <w:footnote w:id="21">
    <w:p w14:paraId="61E8548F" w14:textId="77777777" w:rsidR="00A9210C" w:rsidRPr="00552CA7" w:rsidRDefault="00A9210C" w:rsidP="00A9210C">
      <w:pPr>
        <w:pStyle w:val="FootnoteText"/>
      </w:pPr>
      <w:r>
        <w:rPr>
          <w:rStyle w:val="FootnoteReference"/>
        </w:rPr>
        <w:footnoteRef/>
      </w:r>
      <w:r>
        <w:t xml:space="preserve"> </w:t>
      </w:r>
      <w:r>
        <w:rPr>
          <w:sz w:val="18"/>
          <w:szCs w:val="18"/>
        </w:rPr>
        <w:t xml:space="preserve">Australian Government Department of Finance (2016) </w:t>
      </w:r>
      <w:r>
        <w:rPr>
          <w:i/>
          <w:iCs/>
          <w:sz w:val="18"/>
          <w:szCs w:val="18"/>
        </w:rPr>
        <w:t>An Overview of the Risk Management Process</w:t>
      </w:r>
      <w:r>
        <w:rPr>
          <w:sz w:val="18"/>
          <w:szCs w:val="18"/>
        </w:rPr>
        <w:t xml:space="preserve">. </w:t>
      </w:r>
      <w:hyperlink r:id="rId13" w:history="1">
        <w:r w:rsidRPr="00CD3069">
          <w:rPr>
            <w:rStyle w:val="Hyperlink"/>
            <w:sz w:val="18"/>
            <w:szCs w:val="18"/>
          </w:rPr>
          <w:t>https://www.finance.gov.au/sites/default/files/2019-11/Risk-Management-Process.pdf</w:t>
        </w:r>
      </w:hyperlink>
      <w:r>
        <w:rPr>
          <w:sz w:val="18"/>
          <w:szCs w:val="18"/>
        </w:rPr>
        <w:t xml:space="preserve"> </w:t>
      </w:r>
      <w:r w:rsidRPr="00F00CA7">
        <w:rPr>
          <w:i/>
          <w:iCs/>
          <w:sz w:val="18"/>
          <w:szCs w:val="18"/>
        </w:rPr>
        <w:t xml:space="preserve"> </w:t>
      </w:r>
    </w:p>
  </w:footnote>
  <w:footnote w:id="22">
    <w:p w14:paraId="50C806DA" w14:textId="3ED7EE38" w:rsidR="00A9210C" w:rsidRDefault="00A9210C" w:rsidP="00A9210C">
      <w:pPr>
        <w:pStyle w:val="FootnoteText"/>
      </w:pPr>
      <w:r>
        <w:rPr>
          <w:rStyle w:val="FootnoteReference"/>
        </w:rPr>
        <w:footnoteRef/>
      </w:r>
      <w:r>
        <w:t xml:space="preserve"> </w:t>
      </w:r>
      <w:r w:rsidRPr="00FA7205">
        <w:rPr>
          <w:sz w:val="18"/>
          <w:szCs w:val="18"/>
        </w:rPr>
        <w:t xml:space="preserve">DEECA (2025) </w:t>
      </w:r>
      <w:r w:rsidRPr="00774971">
        <w:rPr>
          <w:i/>
          <w:iCs/>
          <w:sz w:val="18"/>
          <w:szCs w:val="18"/>
        </w:rPr>
        <w:t>Ministerial Guidelines for preparation of Declared Mine Rehabilitation Plans</w:t>
      </w:r>
      <w:r w:rsidRPr="00FA7205">
        <w:rPr>
          <w:sz w:val="18"/>
          <w:szCs w:val="18"/>
        </w:rPr>
        <w:t xml:space="preserve"> </w:t>
      </w:r>
    </w:p>
  </w:footnote>
  <w:footnote w:id="23">
    <w:p w14:paraId="24BBC039" w14:textId="77777777" w:rsidR="00A9210C" w:rsidRDefault="00A9210C" w:rsidP="00A9210C">
      <w:pPr>
        <w:pStyle w:val="FootnoteText"/>
      </w:pPr>
      <w:r>
        <w:rPr>
          <w:rStyle w:val="FootnoteReference"/>
        </w:rPr>
        <w:footnoteRef/>
      </w:r>
      <w:r>
        <w:t xml:space="preserve"> </w:t>
      </w:r>
      <w:r>
        <w:rPr>
          <w:sz w:val="18"/>
          <w:szCs w:val="18"/>
        </w:rPr>
        <w:t xml:space="preserve">CSIRO (2025) </w:t>
      </w:r>
      <w:r>
        <w:rPr>
          <w:i/>
          <w:iCs/>
          <w:sz w:val="18"/>
          <w:szCs w:val="18"/>
        </w:rPr>
        <w:t xml:space="preserve">Guidelines to Open Pit and Waste Dump Closure, </w:t>
      </w:r>
      <w:r w:rsidRPr="00AE2B86">
        <w:t xml:space="preserve"> </w:t>
      </w:r>
      <w:hyperlink r:id="rId14" w:history="1">
        <w:r w:rsidRPr="00CD3069">
          <w:rPr>
            <w:rStyle w:val="Hyperlink"/>
            <w:i/>
            <w:iCs/>
            <w:sz w:val="18"/>
            <w:szCs w:val="18"/>
          </w:rPr>
          <w:t>https://ebooks.publish.csiro.au/content/guidelines-open-pit-and-waste-dump-closure</w:t>
        </w:r>
      </w:hyperlink>
      <w:r>
        <w:rPr>
          <w:i/>
          <w:iCs/>
          <w:sz w:val="18"/>
          <w:szCs w:val="18"/>
        </w:rPr>
        <w:t xml:space="preserve"> </w:t>
      </w:r>
    </w:p>
  </w:footnote>
  <w:footnote w:id="24">
    <w:p w14:paraId="38DDAF95" w14:textId="002628F3" w:rsidR="00BC11F9" w:rsidRPr="009D0FE1" w:rsidRDefault="00BC11F9">
      <w:pPr>
        <w:pStyle w:val="FootnoteText"/>
        <w:rPr>
          <w:i/>
          <w:iCs/>
        </w:rPr>
      </w:pPr>
      <w:r>
        <w:rPr>
          <w:rStyle w:val="FootnoteReference"/>
        </w:rPr>
        <w:footnoteRef/>
      </w:r>
      <w:r>
        <w:t xml:space="preserve"> </w:t>
      </w:r>
      <w:r w:rsidR="008D4B92" w:rsidRPr="00774971">
        <w:rPr>
          <w:sz w:val="18"/>
          <w:szCs w:val="18"/>
        </w:rPr>
        <w:t xml:space="preserve">ICMM (2025) </w:t>
      </w:r>
      <w:r w:rsidR="008D4B92" w:rsidRPr="00774971">
        <w:rPr>
          <w:i/>
          <w:iCs/>
          <w:sz w:val="18"/>
          <w:szCs w:val="18"/>
        </w:rPr>
        <w:t>Integrated Mine Closure</w:t>
      </w:r>
      <w:r w:rsidR="008D4B92">
        <w:rPr>
          <w:i/>
          <w:iCs/>
          <w:sz w:val="18"/>
          <w:szCs w:val="18"/>
        </w:rPr>
        <w:t>:</w:t>
      </w:r>
      <w:r w:rsidR="008D4B92" w:rsidRPr="00774971">
        <w:rPr>
          <w:i/>
          <w:iCs/>
          <w:sz w:val="18"/>
          <w:szCs w:val="18"/>
        </w:rPr>
        <w:t xml:space="preserve"> Good Practice Guide. </w:t>
      </w:r>
      <w:hyperlink r:id="rId15" w:history="1">
        <w:r w:rsidR="008D4B92" w:rsidRPr="00732495">
          <w:rPr>
            <w:rStyle w:val="Hyperlink"/>
            <w:sz w:val="18"/>
            <w:szCs w:val="18"/>
          </w:rPr>
          <w:t>https://www.icmm.com/integrated-mine-closure</w:t>
        </w:r>
      </w:hyperlink>
      <w:r w:rsidR="008D4B92">
        <w:rPr>
          <w:i/>
          <w:iCs/>
          <w:sz w:val="18"/>
          <w:szCs w:val="18"/>
        </w:rPr>
        <w:t xml:space="preserve"> </w:t>
      </w:r>
    </w:p>
  </w:footnote>
  <w:footnote w:id="25">
    <w:p w14:paraId="0735FFBE" w14:textId="77777777" w:rsidR="00B66BB2" w:rsidRDefault="00B66BB2" w:rsidP="00B66BB2">
      <w:pPr>
        <w:pStyle w:val="FootnoteText"/>
      </w:pPr>
      <w:r>
        <w:rPr>
          <w:rStyle w:val="FootnoteReference"/>
        </w:rPr>
        <w:footnoteRef/>
      </w:r>
      <w:r>
        <w:t xml:space="preserve"> </w:t>
      </w:r>
      <w:r>
        <w:rPr>
          <w:sz w:val="18"/>
          <w:szCs w:val="18"/>
        </w:rPr>
        <w:t xml:space="preserve">DJPR (2020) </w:t>
      </w:r>
      <w:r w:rsidRPr="007754D0">
        <w:rPr>
          <w:i/>
          <w:iCs/>
          <w:sz w:val="18"/>
          <w:szCs w:val="18"/>
        </w:rPr>
        <w:t>Preparation of Work Plans and Work Plan Variations (version 1.3)</w:t>
      </w:r>
      <w:r>
        <w:rPr>
          <w:sz w:val="18"/>
          <w:szCs w:val="18"/>
        </w:rPr>
        <w:t xml:space="preserve">, </w:t>
      </w:r>
      <w:hyperlink r:id="rId16" w:history="1">
        <w:r w:rsidRPr="00CD3069">
          <w:rPr>
            <w:rStyle w:val="Hyperlink"/>
            <w:sz w:val="18"/>
            <w:szCs w:val="18"/>
          </w:rPr>
          <w:t>https://resources.vic.gov.au/legislation-and-regulations/guidelines-and-codes-of-practice/work-plan-guidelines-for-mining-licences/Preparation-of-work-plans-and-work-plan-variations-mining-projects.pdf</w:t>
        </w:r>
      </w:hyperlink>
      <w:r>
        <w:rPr>
          <w:sz w:val="18"/>
          <w:szCs w:val="18"/>
        </w:rPr>
        <w:t xml:space="preserve"> </w:t>
      </w:r>
    </w:p>
  </w:footnote>
  <w:footnote w:id="26">
    <w:p w14:paraId="1C4F909D" w14:textId="212852E9" w:rsidR="00951277" w:rsidRDefault="00951277">
      <w:pPr>
        <w:pStyle w:val="FootnoteText"/>
      </w:pPr>
      <w:r>
        <w:rPr>
          <w:rStyle w:val="FootnoteReference"/>
        </w:rPr>
        <w:footnoteRef/>
      </w:r>
      <w:r>
        <w:t xml:space="preserve"> </w:t>
      </w:r>
      <w:r w:rsidRPr="007762C1">
        <w:t xml:space="preserve">DEECA (2025) </w:t>
      </w:r>
      <w:r w:rsidRPr="007762C1">
        <w:rPr>
          <w:i/>
          <w:iCs/>
        </w:rPr>
        <w:t>Ministerial Guidelines for preparation of Declared Mine Rehabilitation Plans</w:t>
      </w:r>
    </w:p>
  </w:footnote>
  <w:footnote w:id="27">
    <w:p w14:paraId="448B2671" w14:textId="6D1CBE06" w:rsidR="006D2615" w:rsidRPr="00774971" w:rsidRDefault="006D2615" w:rsidP="006D2615">
      <w:pPr>
        <w:pStyle w:val="FootnoteText"/>
        <w:rPr>
          <w:i/>
          <w:iCs/>
        </w:rPr>
      </w:pPr>
      <w:r w:rsidRPr="00774971">
        <w:rPr>
          <w:rStyle w:val="FootnoteReference"/>
          <w:sz w:val="18"/>
          <w:szCs w:val="18"/>
        </w:rPr>
        <w:footnoteRef/>
      </w:r>
      <w:r w:rsidRPr="00774971">
        <w:rPr>
          <w:sz w:val="18"/>
          <w:szCs w:val="18"/>
        </w:rPr>
        <w:t xml:space="preserve"> ICMM (2025) </w:t>
      </w:r>
      <w:r w:rsidRPr="00774971">
        <w:rPr>
          <w:i/>
          <w:iCs/>
          <w:sz w:val="18"/>
          <w:szCs w:val="18"/>
        </w:rPr>
        <w:t>Integrated Mine Closure</w:t>
      </w:r>
      <w:r>
        <w:rPr>
          <w:i/>
          <w:iCs/>
          <w:sz w:val="18"/>
          <w:szCs w:val="18"/>
        </w:rPr>
        <w:t>:</w:t>
      </w:r>
      <w:r w:rsidRPr="00774971">
        <w:rPr>
          <w:i/>
          <w:iCs/>
          <w:sz w:val="18"/>
          <w:szCs w:val="18"/>
        </w:rPr>
        <w:t xml:space="preserve"> Good Practice Guide. </w:t>
      </w:r>
      <w:hyperlink r:id="rId17" w:history="1">
        <w:r w:rsidR="00110217" w:rsidRPr="00732495">
          <w:rPr>
            <w:rStyle w:val="Hyperlink"/>
            <w:sz w:val="18"/>
            <w:szCs w:val="18"/>
          </w:rPr>
          <w:t>https://www.icmm.com/integrated-mine-closure</w:t>
        </w:r>
      </w:hyperlink>
      <w:r w:rsidR="00110217">
        <w:rPr>
          <w:i/>
          <w:iCs/>
          <w:sz w:val="18"/>
          <w:szCs w:val="18"/>
        </w:rPr>
        <w:t xml:space="preserve"> </w:t>
      </w:r>
    </w:p>
  </w:footnote>
  <w:footnote w:id="28">
    <w:p w14:paraId="39969C3D" w14:textId="77777777" w:rsidR="004F500F" w:rsidRPr="00FD379D" w:rsidRDefault="004F500F" w:rsidP="004F500F">
      <w:pPr>
        <w:pStyle w:val="FootnoteText"/>
        <w:rPr>
          <w:i/>
          <w:iCs/>
        </w:rPr>
      </w:pPr>
      <w:r>
        <w:rPr>
          <w:rStyle w:val="FootnoteReference"/>
        </w:rPr>
        <w:footnoteRef/>
      </w:r>
      <w:r>
        <w:t xml:space="preserve"> </w:t>
      </w:r>
      <w:r>
        <w:rPr>
          <w:sz w:val="18"/>
          <w:szCs w:val="18"/>
        </w:rPr>
        <w:t xml:space="preserve">EPA Victoria (2025) Consultation guideline: </w:t>
      </w:r>
      <w:r>
        <w:rPr>
          <w:i/>
          <w:iCs/>
          <w:sz w:val="18"/>
          <w:szCs w:val="18"/>
        </w:rPr>
        <w:t xml:space="preserve">Preparing a risk management and monitoring program. </w:t>
      </w:r>
      <w:hyperlink r:id="rId18" w:history="1">
        <w:r w:rsidRPr="00FD379D">
          <w:rPr>
            <w:rStyle w:val="Hyperlink"/>
            <w:sz w:val="18"/>
            <w:szCs w:val="18"/>
          </w:rPr>
          <w:t>https://engage.vic.gov.au/download/document/42474</w:t>
        </w:r>
      </w:hyperlink>
      <w:r>
        <w:rPr>
          <w:i/>
          <w:iCs/>
          <w:sz w:val="18"/>
          <w:szCs w:val="18"/>
        </w:rPr>
        <w:t xml:space="preserve"> </w:t>
      </w:r>
    </w:p>
  </w:footnote>
  <w:footnote w:id="29">
    <w:p w14:paraId="61F493F8" w14:textId="77777777" w:rsidR="004F500F" w:rsidRDefault="004F500F" w:rsidP="004F500F">
      <w:pPr>
        <w:pStyle w:val="FootnoteText"/>
      </w:pPr>
      <w:r>
        <w:rPr>
          <w:rStyle w:val="FootnoteReference"/>
        </w:rPr>
        <w:footnoteRef/>
      </w:r>
      <w:r>
        <w:t xml:space="preserve"> </w:t>
      </w:r>
      <w:r>
        <w:rPr>
          <w:sz w:val="18"/>
          <w:szCs w:val="18"/>
        </w:rPr>
        <w:t xml:space="preserve">EPA Victoria (2025) Consultation guideline: </w:t>
      </w:r>
      <w:r>
        <w:rPr>
          <w:i/>
          <w:iCs/>
          <w:sz w:val="18"/>
          <w:szCs w:val="18"/>
        </w:rPr>
        <w:t xml:space="preserve">Preparing a risk management and monitoring program. </w:t>
      </w:r>
      <w:hyperlink r:id="rId19" w:history="1">
        <w:r w:rsidRPr="00AB21AB">
          <w:rPr>
            <w:rStyle w:val="Hyperlink"/>
            <w:sz w:val="18"/>
            <w:szCs w:val="18"/>
          </w:rPr>
          <w:t>https://engage.vic.gov.au/download/document/42474</w:t>
        </w:r>
      </w:hyperlink>
    </w:p>
  </w:footnote>
  <w:footnote w:id="30">
    <w:p w14:paraId="62B4F08B" w14:textId="4531C399" w:rsidR="006F08A6" w:rsidRDefault="006F08A6">
      <w:pPr>
        <w:pStyle w:val="FootnoteText"/>
      </w:pPr>
      <w:r>
        <w:rPr>
          <w:rStyle w:val="FootnoteReference"/>
        </w:rPr>
        <w:footnoteRef/>
      </w:r>
      <w:r>
        <w:t xml:space="preserve"> </w:t>
      </w:r>
      <w:r w:rsidR="008B2C87">
        <w:t>IES</w:t>
      </w:r>
      <w:r w:rsidR="00942F9D">
        <w:t xml:space="preserve">C, </w:t>
      </w:r>
      <w:hyperlink r:id="rId20" w:history="1">
        <w:r w:rsidRPr="006F08A6">
          <w:rPr>
            <w:color w:val="0000FF"/>
            <w:szCs w:val="22"/>
            <w:u w:val="single"/>
          </w:rPr>
          <w:t>Summary guide – Using impact pathway diagrams based on ecohydrological conceptualisation in environmental impact assessment</w:t>
        </w:r>
      </w:hyperlink>
    </w:p>
  </w:footnote>
  <w:footnote w:id="31">
    <w:p w14:paraId="09D3B2D5" w14:textId="6D401C7E" w:rsidR="001E722F" w:rsidRDefault="001E722F">
      <w:pPr>
        <w:pStyle w:val="FootnoteText"/>
      </w:pPr>
      <w:r>
        <w:rPr>
          <w:rStyle w:val="FootnoteReference"/>
        </w:rPr>
        <w:footnoteRef/>
      </w:r>
      <w:r>
        <w:t xml:space="preserve"> </w:t>
      </w:r>
      <w:hyperlink r:id="rId21" w:history="1">
        <w:r w:rsidRPr="001E722F">
          <w:rPr>
            <w:color w:val="0000FF"/>
            <w:szCs w:val="22"/>
            <w:u w:val="single"/>
          </w:rPr>
          <w:t>Conceptual models</w:t>
        </w:r>
      </w:hyperlink>
    </w:p>
  </w:footnote>
  <w:footnote w:id="32">
    <w:p w14:paraId="5D4654B3" w14:textId="209431DB" w:rsidR="00FB0853" w:rsidRDefault="00FB0853" w:rsidP="00FB0853">
      <w:pPr>
        <w:pStyle w:val="FootnoteText"/>
      </w:pPr>
      <w:r>
        <w:rPr>
          <w:rStyle w:val="FootnoteReference"/>
        </w:rPr>
        <w:footnoteRef/>
      </w:r>
      <w:r>
        <w:t xml:space="preserve"> </w:t>
      </w:r>
      <w:r w:rsidRPr="0008503F">
        <w:rPr>
          <w:sz w:val="18"/>
          <w:szCs w:val="18"/>
        </w:rPr>
        <w:t>Queensland Government</w:t>
      </w:r>
      <w:r>
        <w:rPr>
          <w:sz w:val="18"/>
          <w:szCs w:val="18"/>
        </w:rPr>
        <w:t xml:space="preserve"> (2018) </w:t>
      </w:r>
      <w:r w:rsidRPr="0012563E">
        <w:rPr>
          <w:i/>
          <w:iCs/>
          <w:sz w:val="18"/>
          <w:szCs w:val="18"/>
        </w:rPr>
        <w:t>Managing residual risks in Queensland Discussion Paper</w:t>
      </w:r>
      <w:r>
        <w:rPr>
          <w:i/>
          <w:iCs/>
          <w:sz w:val="18"/>
          <w:szCs w:val="18"/>
        </w:rPr>
        <w:t xml:space="preserve">. </w:t>
      </w:r>
      <w:hyperlink r:id="rId22" w:history="1">
        <w:r w:rsidR="00560A0F" w:rsidRPr="00732495">
          <w:rPr>
            <w:rStyle w:val="Hyperlink"/>
            <w:sz w:val="18"/>
            <w:szCs w:val="18"/>
          </w:rPr>
          <w:t>https://environment.desi.qld.gov.au/__data/assets/pdf_file/0036/88857/managing-residual-risks-discussion-paper.pdf</w:t>
        </w:r>
      </w:hyperlink>
      <w:r w:rsidR="00560A0F">
        <w:t xml:space="preserve">   </w:t>
      </w:r>
    </w:p>
  </w:footnote>
  <w:footnote w:id="33">
    <w:p w14:paraId="39AF2F36" w14:textId="4C5DB816" w:rsidR="00FB0853" w:rsidRPr="00182DB6" w:rsidRDefault="00FB0853" w:rsidP="00FB0853">
      <w:pPr>
        <w:pStyle w:val="FootnoteText"/>
      </w:pPr>
      <w:r>
        <w:rPr>
          <w:rStyle w:val="FootnoteReference"/>
        </w:rPr>
        <w:footnoteRef/>
      </w:r>
      <w:r>
        <w:t xml:space="preserve"> </w:t>
      </w:r>
      <w:r>
        <w:rPr>
          <w:sz w:val="18"/>
          <w:szCs w:val="18"/>
        </w:rPr>
        <w:t xml:space="preserve">ICMM (2025) </w:t>
      </w:r>
      <w:r>
        <w:rPr>
          <w:i/>
          <w:iCs/>
          <w:sz w:val="18"/>
          <w:szCs w:val="18"/>
        </w:rPr>
        <w:t>Integrated Mine Closure Good Practice Guide</w:t>
      </w:r>
      <w:r>
        <w:rPr>
          <w:sz w:val="18"/>
          <w:szCs w:val="18"/>
        </w:rPr>
        <w:t xml:space="preserve">, </w:t>
      </w:r>
      <w:hyperlink r:id="rId23" w:history="1">
        <w:r w:rsidR="00560A0F" w:rsidRPr="00CD3069">
          <w:rPr>
            <w:rStyle w:val="Hyperlink"/>
            <w:sz w:val="18"/>
            <w:szCs w:val="18"/>
          </w:rPr>
          <w:t>https://www.icmm.com/integrated-mine-closure</w:t>
        </w:r>
      </w:hyperlink>
      <w:r w:rsidR="00560A0F">
        <w:rPr>
          <w:sz w:val="18"/>
          <w:szCs w:val="18"/>
        </w:rPr>
        <w:t xml:space="preserve"> </w:t>
      </w:r>
    </w:p>
  </w:footnote>
  <w:footnote w:id="34">
    <w:p w14:paraId="17D7B140" w14:textId="421E3B43" w:rsidR="00595621" w:rsidRDefault="00595621">
      <w:pPr>
        <w:pStyle w:val="FootnoteText"/>
      </w:pPr>
      <w:r>
        <w:rPr>
          <w:rStyle w:val="FootnoteReference"/>
        </w:rPr>
        <w:footnoteRef/>
      </w:r>
      <w:r>
        <w:t xml:space="preserve"> </w:t>
      </w:r>
      <w:r>
        <w:rPr>
          <w:sz w:val="18"/>
          <w:szCs w:val="18"/>
        </w:rPr>
        <w:t xml:space="preserve">CSIRO (2025) </w:t>
      </w:r>
      <w:r>
        <w:rPr>
          <w:i/>
          <w:iCs/>
          <w:sz w:val="18"/>
          <w:szCs w:val="18"/>
        </w:rPr>
        <w:t xml:space="preserve">Guidelines to Open Pit and Waste Dump Closure, </w:t>
      </w:r>
      <w:hyperlink r:id="rId24" w:history="1">
        <w:r w:rsidR="004523B6" w:rsidRPr="00CD3069">
          <w:rPr>
            <w:rStyle w:val="Hyperlink"/>
            <w:i/>
            <w:iCs/>
            <w:sz w:val="18"/>
            <w:szCs w:val="18"/>
          </w:rPr>
          <w:t>https://ebooks.publish.csiro.au/content/guidelines-open-pit-and-waste-dump-closure</w:t>
        </w:r>
      </w:hyperlink>
      <w:r w:rsidR="004523B6">
        <w:rPr>
          <w:i/>
          <w:iCs/>
          <w:sz w:val="18"/>
          <w:szCs w:val="18"/>
        </w:rPr>
        <w:t xml:space="preserve"> </w:t>
      </w:r>
    </w:p>
  </w:footnote>
  <w:footnote w:id="35">
    <w:p w14:paraId="503C2FC1" w14:textId="77777777" w:rsidR="004F500F" w:rsidRDefault="004F500F" w:rsidP="004F500F">
      <w:pPr>
        <w:pStyle w:val="FootnoteText"/>
      </w:pPr>
      <w:r>
        <w:rPr>
          <w:rStyle w:val="FootnoteReference"/>
        </w:rPr>
        <w:footnoteRef/>
      </w:r>
      <w:r>
        <w:t xml:space="preserve"> </w:t>
      </w:r>
      <w:r w:rsidRPr="0016346D">
        <w:rPr>
          <w:sz w:val="18"/>
          <w:szCs w:val="18"/>
        </w:rPr>
        <w:t>Commissioner for Resources Safety &amp; Health (2023)</w:t>
      </w:r>
      <w:r w:rsidRPr="0016346D">
        <w:rPr>
          <w:i/>
          <w:iCs/>
          <w:sz w:val="18"/>
          <w:szCs w:val="18"/>
        </w:rPr>
        <w:t xml:space="preserve"> Risk assessment education resource, Mining Safety and Health Advisory Committee </w:t>
      </w:r>
      <w:hyperlink r:id="rId25" w:history="1">
        <w:r w:rsidRPr="0016346D">
          <w:rPr>
            <w:rStyle w:val="Hyperlink"/>
            <w:sz w:val="18"/>
            <w:szCs w:val="18"/>
          </w:rPr>
          <w:t>https://www.publications.qld.gov.au/ckan-publications-attachments-prod/resources/f7f107ce-52d4-427e-837b-5a81984bbb40/20232003-risk-assessment-educational-resource.pdf?ETag=d353c0ea3e90ed671fee9803b4d9ae91</w:t>
        </w:r>
      </w:hyperlink>
    </w:p>
  </w:footnote>
  <w:footnote w:id="36">
    <w:p w14:paraId="3000D31C" w14:textId="77777777" w:rsidR="004F500F" w:rsidRDefault="004F500F" w:rsidP="004F500F">
      <w:pPr>
        <w:pStyle w:val="FootnoteText"/>
      </w:pPr>
      <w:r>
        <w:rPr>
          <w:rStyle w:val="FootnoteReference"/>
        </w:rPr>
        <w:footnoteRef/>
      </w:r>
      <w:r>
        <w:t xml:space="preserve"> </w:t>
      </w:r>
      <w:r>
        <w:rPr>
          <w:sz w:val="18"/>
          <w:szCs w:val="18"/>
        </w:rPr>
        <w:t xml:space="preserve">CSIRO (2025) </w:t>
      </w:r>
      <w:r>
        <w:rPr>
          <w:i/>
          <w:iCs/>
          <w:sz w:val="18"/>
          <w:szCs w:val="18"/>
        </w:rPr>
        <w:t xml:space="preserve">Guidelines to Open Pit and Waste Dump Closure, </w:t>
      </w:r>
      <w:hyperlink r:id="rId26" w:history="1">
        <w:r w:rsidRPr="00CD3069">
          <w:rPr>
            <w:rStyle w:val="Hyperlink"/>
            <w:i/>
            <w:iCs/>
            <w:sz w:val="18"/>
            <w:szCs w:val="18"/>
          </w:rPr>
          <w:t>https://ebooks.publish.csiro.au/content/guidelines-open-pit-and-waste-dump-closure</w:t>
        </w:r>
      </w:hyperlink>
      <w:r>
        <w:rPr>
          <w:i/>
          <w:iCs/>
          <w:sz w:val="18"/>
          <w:szCs w:val="18"/>
        </w:rPr>
        <w:t xml:space="preserve"> </w:t>
      </w:r>
    </w:p>
  </w:footnote>
  <w:footnote w:id="37">
    <w:p w14:paraId="2AAFA467" w14:textId="77777777" w:rsidR="004F500F" w:rsidRDefault="004F500F" w:rsidP="004F500F">
      <w:pPr>
        <w:pStyle w:val="FootnoteText"/>
      </w:pPr>
      <w:r>
        <w:rPr>
          <w:rStyle w:val="FootnoteReference"/>
        </w:rPr>
        <w:footnoteRef/>
      </w:r>
      <w:r>
        <w:t xml:space="preserve"> </w:t>
      </w:r>
      <w:r>
        <w:rPr>
          <w:sz w:val="18"/>
          <w:szCs w:val="18"/>
        </w:rPr>
        <w:t xml:space="preserve">CSIRO (2025) </w:t>
      </w:r>
      <w:r>
        <w:rPr>
          <w:i/>
          <w:iCs/>
          <w:sz w:val="18"/>
          <w:szCs w:val="18"/>
        </w:rPr>
        <w:t xml:space="preserve">Guidelines to Open Pit and Waste Dump Closure, </w:t>
      </w:r>
      <w:hyperlink r:id="rId27" w:history="1">
        <w:r w:rsidRPr="00CD3069">
          <w:rPr>
            <w:rStyle w:val="Hyperlink"/>
            <w:i/>
            <w:iCs/>
            <w:sz w:val="18"/>
            <w:szCs w:val="18"/>
          </w:rPr>
          <w:t>https://ebooks.publish.csiro.au/content/guidelines-open-pit-and-waste-dump-closure</w:t>
        </w:r>
      </w:hyperlink>
      <w:r>
        <w:rPr>
          <w:i/>
          <w:iCs/>
          <w:sz w:val="18"/>
          <w:szCs w:val="18"/>
        </w:rPr>
        <w:t xml:space="preserve"> </w:t>
      </w:r>
    </w:p>
  </w:footnote>
  <w:footnote w:id="38">
    <w:p w14:paraId="48279C31" w14:textId="77777777" w:rsidR="004F500F" w:rsidRPr="005C37DB" w:rsidRDefault="004F500F" w:rsidP="004F500F">
      <w:pPr>
        <w:pStyle w:val="FootnoteText"/>
        <w:rPr>
          <w:sz w:val="18"/>
          <w:szCs w:val="18"/>
        </w:rPr>
      </w:pPr>
      <w:r w:rsidRPr="00150939">
        <w:rPr>
          <w:rStyle w:val="FootnoteReference"/>
          <w:sz w:val="18"/>
          <w:szCs w:val="18"/>
        </w:rPr>
        <w:footnoteRef/>
      </w:r>
      <w:r w:rsidRPr="00150939">
        <w:rPr>
          <w:sz w:val="18"/>
          <w:szCs w:val="18"/>
        </w:rPr>
        <w:t xml:space="preserve"> </w:t>
      </w:r>
      <w:r w:rsidRPr="00E82245">
        <w:rPr>
          <w:sz w:val="18"/>
          <w:szCs w:val="18"/>
        </w:rPr>
        <w:t xml:space="preserve">Dr A. Robertson &amp; S. Shaw (n.d.), </w:t>
      </w:r>
      <w:r w:rsidRPr="00FD379D">
        <w:rPr>
          <w:i/>
          <w:iCs/>
          <w:sz w:val="18"/>
          <w:szCs w:val="18"/>
        </w:rPr>
        <w:t>Infomine E-Book:</w:t>
      </w:r>
      <w:r w:rsidRPr="00FD379D">
        <w:rPr>
          <w:i/>
          <w:sz w:val="18"/>
          <w:szCs w:val="18"/>
        </w:rPr>
        <w:t xml:space="preserve"> Mine Closure</w:t>
      </w:r>
      <w:r w:rsidRPr="00E82245">
        <w:rPr>
          <w:sz w:val="18"/>
          <w:szCs w:val="18"/>
        </w:rPr>
        <w:t xml:space="preserve"> </w:t>
      </w:r>
    </w:p>
  </w:footnote>
  <w:footnote w:id="39">
    <w:p w14:paraId="329FEC07" w14:textId="77777777" w:rsidR="004F500F" w:rsidRDefault="004F500F" w:rsidP="004F500F">
      <w:pPr>
        <w:pStyle w:val="FootnoteText"/>
      </w:pPr>
      <w:r>
        <w:rPr>
          <w:rStyle w:val="FootnoteReference"/>
        </w:rPr>
        <w:footnoteRef/>
      </w:r>
      <w:r>
        <w:t xml:space="preserve"> </w:t>
      </w:r>
      <w:r>
        <w:rPr>
          <w:sz w:val="18"/>
          <w:szCs w:val="18"/>
        </w:rPr>
        <w:t xml:space="preserve">CSIRO (2025) </w:t>
      </w:r>
      <w:r>
        <w:rPr>
          <w:i/>
          <w:iCs/>
          <w:sz w:val="18"/>
          <w:szCs w:val="18"/>
        </w:rPr>
        <w:t xml:space="preserve">Guidelines to Open Pit and Waste Dump Closure, </w:t>
      </w:r>
      <w:hyperlink r:id="rId28" w:history="1">
        <w:r w:rsidRPr="00CA1B1D">
          <w:rPr>
            <w:rStyle w:val="Hyperlink"/>
            <w:i/>
            <w:iCs/>
            <w:sz w:val="18"/>
            <w:szCs w:val="18"/>
          </w:rPr>
          <w:t>https://ebooks.publish.csiro.au/content/guidelines-open-pit-and-waste-dump-closure</w:t>
        </w:r>
      </w:hyperlink>
    </w:p>
  </w:footnote>
  <w:footnote w:id="40">
    <w:p w14:paraId="3C2E956C" w14:textId="77777777" w:rsidR="004F500F" w:rsidRDefault="004F500F" w:rsidP="004F500F">
      <w:pPr>
        <w:pStyle w:val="FootnoteText"/>
      </w:pPr>
      <w:r>
        <w:rPr>
          <w:rStyle w:val="FootnoteReference"/>
        </w:rPr>
        <w:footnoteRef/>
      </w:r>
      <w:r>
        <w:t xml:space="preserve"> </w:t>
      </w:r>
      <w:r>
        <w:rPr>
          <w:sz w:val="18"/>
          <w:szCs w:val="18"/>
        </w:rPr>
        <w:t xml:space="preserve">Australian Government Department of Finance (2023) </w:t>
      </w:r>
      <w:r>
        <w:rPr>
          <w:i/>
          <w:iCs/>
          <w:sz w:val="18"/>
          <w:szCs w:val="18"/>
        </w:rPr>
        <w:t>Element 7: Emerging Risks</w:t>
      </w:r>
      <w:r>
        <w:rPr>
          <w:sz w:val="18"/>
          <w:szCs w:val="18"/>
        </w:rPr>
        <w:t xml:space="preserve">. </w:t>
      </w:r>
      <w:hyperlink r:id="rId29" w:history="1">
        <w:r w:rsidRPr="00CD3069">
          <w:rPr>
            <w:rStyle w:val="Hyperlink"/>
            <w:sz w:val="18"/>
            <w:szCs w:val="18"/>
          </w:rPr>
          <w:t>https://www.finance.gov.au/government/comcover/risk-services/management/risk-management-toolkit/element-7-emerging-risks</w:t>
        </w:r>
      </w:hyperlink>
      <w:r>
        <w:rPr>
          <w:sz w:val="18"/>
          <w:szCs w:val="18"/>
        </w:rPr>
        <w:t xml:space="preserve"> </w:t>
      </w:r>
    </w:p>
  </w:footnote>
  <w:footnote w:id="41">
    <w:p w14:paraId="0FDCD6BD" w14:textId="77777777" w:rsidR="004F500F" w:rsidRDefault="004F500F" w:rsidP="004F500F">
      <w:pPr>
        <w:pStyle w:val="FootnoteText"/>
      </w:pPr>
      <w:r>
        <w:rPr>
          <w:rStyle w:val="FootnoteReference"/>
        </w:rPr>
        <w:footnoteRef/>
      </w:r>
      <w:r>
        <w:t xml:space="preserve"> </w:t>
      </w:r>
      <w:r w:rsidRPr="0016346D">
        <w:rPr>
          <w:sz w:val="18"/>
          <w:szCs w:val="18"/>
        </w:rPr>
        <w:t>Commissioner for Resources Safety &amp; Health (2023)</w:t>
      </w:r>
      <w:r w:rsidRPr="0016346D">
        <w:rPr>
          <w:i/>
          <w:iCs/>
          <w:sz w:val="18"/>
          <w:szCs w:val="18"/>
        </w:rPr>
        <w:t xml:space="preserve"> Risk assessment education resource, Mining Safety and Health Advisory Committee </w:t>
      </w:r>
      <w:hyperlink r:id="rId30" w:history="1">
        <w:r w:rsidRPr="0016346D">
          <w:rPr>
            <w:rStyle w:val="Hyperlink"/>
            <w:sz w:val="18"/>
            <w:szCs w:val="18"/>
          </w:rPr>
          <w:t>https://www.publications.qld.gov.au/ckan-publications-attachments-prod/resources/f7f107ce-52d4-427e-837b-5a81984bbb40/20232003-risk-assessment-educational-resource.pdf?ETag=d353c0ea3e90ed671fee9803b4d9ae91</w:t>
        </w:r>
      </w:hyperlink>
    </w:p>
  </w:footnote>
  <w:footnote w:id="42">
    <w:p w14:paraId="60FD4D5A" w14:textId="392CDE75" w:rsidR="00C51940" w:rsidRPr="00120C8D" w:rsidRDefault="00C51940">
      <w:pPr>
        <w:pStyle w:val="FootnoteText"/>
        <w:rPr>
          <w:sz w:val="18"/>
          <w:szCs w:val="18"/>
        </w:rPr>
      </w:pPr>
      <w:r w:rsidRPr="00120C8D">
        <w:rPr>
          <w:rStyle w:val="FootnoteReference"/>
          <w:sz w:val="18"/>
          <w:szCs w:val="18"/>
        </w:rPr>
        <w:footnoteRef/>
      </w:r>
      <w:r w:rsidRPr="00120C8D">
        <w:rPr>
          <w:sz w:val="18"/>
          <w:szCs w:val="18"/>
        </w:rPr>
        <w:t xml:space="preserve"> </w:t>
      </w:r>
      <w:r w:rsidR="00FC5D5E" w:rsidRPr="00120C8D">
        <w:rPr>
          <w:sz w:val="18"/>
          <w:szCs w:val="18"/>
        </w:rPr>
        <w:t xml:space="preserve">The detail around the content and volume of </w:t>
      </w:r>
      <w:r w:rsidR="00EC7686" w:rsidRPr="00120C8D">
        <w:rPr>
          <w:sz w:val="18"/>
          <w:szCs w:val="18"/>
        </w:rPr>
        <w:t>the p</w:t>
      </w:r>
      <w:r w:rsidRPr="00120C8D">
        <w:rPr>
          <w:sz w:val="18"/>
          <w:szCs w:val="18"/>
        </w:rPr>
        <w:t xml:space="preserve">rescribed records and information are currently being </w:t>
      </w:r>
      <w:r w:rsidR="00EC7686" w:rsidRPr="00120C8D">
        <w:rPr>
          <w:sz w:val="18"/>
          <w:szCs w:val="18"/>
        </w:rPr>
        <w:t>developed</w:t>
      </w:r>
      <w:r w:rsidR="008D490B" w:rsidRPr="00120C8D">
        <w:rPr>
          <w:sz w:val="18"/>
          <w:szCs w:val="18"/>
        </w:rPr>
        <w:t>.</w:t>
      </w:r>
    </w:p>
  </w:footnote>
  <w:footnote w:id="43">
    <w:p w14:paraId="343C2B4B" w14:textId="77777777" w:rsidR="00313568" w:rsidRDefault="00313568" w:rsidP="00313568">
      <w:pPr>
        <w:pStyle w:val="FootnoteText"/>
      </w:pPr>
      <w:r>
        <w:rPr>
          <w:rStyle w:val="FootnoteReference"/>
        </w:rPr>
        <w:footnoteRef/>
      </w:r>
      <w:r>
        <w:t xml:space="preserve"> </w:t>
      </w:r>
      <w:r>
        <w:rPr>
          <w:sz w:val="18"/>
          <w:szCs w:val="18"/>
        </w:rPr>
        <w:t xml:space="preserve">ICMM (2015) </w:t>
      </w:r>
      <w:r>
        <w:rPr>
          <w:i/>
          <w:iCs/>
          <w:sz w:val="18"/>
          <w:szCs w:val="18"/>
        </w:rPr>
        <w:t>Health and Safety Critical Control Management: Good Practice Guide</w:t>
      </w:r>
      <w:r>
        <w:rPr>
          <w:sz w:val="18"/>
          <w:szCs w:val="18"/>
        </w:rPr>
        <w:t xml:space="preserve">. </w:t>
      </w:r>
      <w:hyperlink r:id="rId31" w:history="1">
        <w:r w:rsidRPr="00CD3069">
          <w:rPr>
            <w:rStyle w:val="Hyperlink"/>
            <w:sz w:val="18"/>
            <w:szCs w:val="18"/>
          </w:rPr>
          <w:t>https://www.icmm.com/en-gb/guidance/health-safety/2015/ccm-good-practice-guide</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CC1E" w14:textId="133C9CDA" w:rsidR="00D45F1D" w:rsidRDefault="006434E3" w:rsidP="00CF71FF">
    <w:pPr>
      <w:pStyle w:val="Header"/>
    </w:pPr>
    <w:r>
      <w:rPr>
        <w:noProof/>
      </w:rPr>
      <mc:AlternateContent>
        <mc:Choice Requires="wps">
          <w:drawing>
            <wp:anchor distT="0" distB="0" distL="114300" distR="114300" simplePos="0" relativeHeight="251658243" behindDoc="0" locked="0" layoutInCell="1" allowOverlap="1" wp14:anchorId="09BDF72C" wp14:editId="16079169">
              <wp:simplePos x="0" y="0"/>
              <wp:positionH relativeFrom="column">
                <wp:posOffset>-1114425</wp:posOffset>
              </wp:positionH>
              <wp:positionV relativeFrom="paragraph">
                <wp:posOffset>-68580</wp:posOffset>
              </wp:positionV>
              <wp:extent cx="8401050" cy="270000"/>
              <wp:effectExtent l="0" t="0" r="0" b="0"/>
              <wp:wrapNone/>
              <wp:docPr id="369620652" name="Rectangle 2"/>
              <wp:cNvGraphicFramePr/>
              <a:graphic xmlns:a="http://schemas.openxmlformats.org/drawingml/2006/main">
                <a:graphicData uri="http://schemas.microsoft.com/office/word/2010/wordprocessingShape">
                  <wps:wsp>
                    <wps:cNvSpPr/>
                    <wps:spPr>
                      <a:xfrm>
                        <a:off x="0" y="0"/>
                        <a:ext cx="8401050" cy="270000"/>
                      </a:xfrm>
                      <a:prstGeom prst="rect">
                        <a:avLst/>
                      </a:prstGeom>
                      <a:solidFill>
                        <a:srgbClr val="00B0B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BA932" id="Rectangle 2" o:spid="_x0000_s1026" style="position:absolute;margin-left:-87.75pt;margin-top:-5.4pt;width:661.5pt;height:2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" fillcolor="#00b0b9" stroked="f" strokeweight="1pt"/>
          </w:pict>
        </mc:Fallback>
      </mc:AlternateContent>
    </w:r>
    <w:r>
      <w:rPr>
        <w:noProof/>
      </w:rPr>
      <mc:AlternateContent>
        <mc:Choice Requires="wps">
          <w:drawing>
            <wp:anchor distT="0" distB="0" distL="114300" distR="114300" simplePos="0" relativeHeight="251658242" behindDoc="0" locked="0" layoutInCell="1" allowOverlap="1" wp14:anchorId="5E8FFF96" wp14:editId="120841C2">
              <wp:simplePos x="0" y="0"/>
              <wp:positionH relativeFrom="column">
                <wp:posOffset>-1228725</wp:posOffset>
              </wp:positionH>
              <wp:positionV relativeFrom="paragraph">
                <wp:posOffset>-517525</wp:posOffset>
              </wp:positionV>
              <wp:extent cx="8505825" cy="450000"/>
              <wp:effectExtent l="0" t="0" r="9525" b="7620"/>
              <wp:wrapNone/>
              <wp:docPr id="449560779" name="Rectangle 1"/>
              <wp:cNvGraphicFramePr/>
              <a:graphic xmlns:a="http://schemas.openxmlformats.org/drawingml/2006/main">
                <a:graphicData uri="http://schemas.microsoft.com/office/word/2010/wordprocessingShape">
                  <wps:wsp>
                    <wps:cNvSpPr/>
                    <wps:spPr>
                      <a:xfrm>
                        <a:off x="0" y="0"/>
                        <a:ext cx="8505825" cy="450000"/>
                      </a:xfrm>
                      <a:prstGeom prst="rect">
                        <a:avLst/>
                      </a:prstGeom>
                      <a:solidFill>
                        <a:srgbClr val="021D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14D90" id="Rectangle 1" o:spid="_x0000_s1026" style="position:absolute;margin-left:-96.75pt;margin-top:-40.75pt;width:669.75pt;height:35.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" fillcolor="#021d5e"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4337" w14:textId="0CC610D5" w:rsidR="001F4DB6" w:rsidRDefault="001F4DB6">
    <w:pPr>
      <w:pStyle w:val="Header"/>
    </w:pPr>
    <w:r>
      <w:rPr>
        <w:noProof/>
      </w:rPr>
      <mc:AlternateContent>
        <mc:Choice Requires="wps">
          <w:drawing>
            <wp:anchor distT="0" distB="0" distL="114300" distR="114300" simplePos="0" relativeHeight="251658247" behindDoc="0" locked="0" layoutInCell="1" allowOverlap="1" wp14:anchorId="794891E2" wp14:editId="16485C04">
              <wp:simplePos x="0" y="0"/>
              <wp:positionH relativeFrom="page">
                <wp:align>left</wp:align>
              </wp:positionH>
              <wp:positionV relativeFrom="paragraph">
                <wp:posOffset>-66675</wp:posOffset>
              </wp:positionV>
              <wp:extent cx="16459200" cy="270000"/>
              <wp:effectExtent l="0" t="0" r="0" b="0"/>
              <wp:wrapNone/>
              <wp:docPr id="1932090425" name="Rectangle 2"/>
              <wp:cNvGraphicFramePr/>
              <a:graphic xmlns:a="http://schemas.openxmlformats.org/drawingml/2006/main">
                <a:graphicData uri="http://schemas.microsoft.com/office/word/2010/wordprocessingShape">
                  <wps:wsp>
                    <wps:cNvSpPr/>
                    <wps:spPr>
                      <a:xfrm>
                        <a:off x="0" y="0"/>
                        <a:ext cx="16459200" cy="270000"/>
                      </a:xfrm>
                      <a:prstGeom prst="rect">
                        <a:avLst/>
                      </a:prstGeom>
                      <a:solidFill>
                        <a:srgbClr val="00B0B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32262" id="Rectangle 2" o:spid="_x0000_s1026" style="position:absolute;margin-left:0;margin-top:-5.25pt;width:18in;height:21.25pt;z-index:2516582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" fillcolor="#00b0b9" stroked="f" strokeweight="1pt">
              <w10:wrap anchorx="page"/>
            </v:rect>
          </w:pict>
        </mc:Fallback>
      </mc:AlternateContent>
    </w:r>
    <w:r>
      <w:rPr>
        <w:noProof/>
      </w:rPr>
      <mc:AlternateContent>
        <mc:Choice Requires="wps">
          <w:drawing>
            <wp:anchor distT="0" distB="0" distL="114300" distR="114300" simplePos="0" relativeHeight="251658246" behindDoc="0" locked="0" layoutInCell="1" allowOverlap="1" wp14:anchorId="6AEF0E88" wp14:editId="0E932A3D">
              <wp:simplePos x="0" y="0"/>
              <wp:positionH relativeFrom="column">
                <wp:posOffset>-1228725</wp:posOffset>
              </wp:positionH>
              <wp:positionV relativeFrom="paragraph">
                <wp:posOffset>-516255</wp:posOffset>
              </wp:positionV>
              <wp:extent cx="16821150" cy="449580"/>
              <wp:effectExtent l="0" t="0" r="0" b="7620"/>
              <wp:wrapNone/>
              <wp:docPr id="1093176657" name="Rectangle 1"/>
              <wp:cNvGraphicFramePr/>
              <a:graphic xmlns:a="http://schemas.openxmlformats.org/drawingml/2006/main">
                <a:graphicData uri="http://schemas.microsoft.com/office/word/2010/wordprocessingShape">
                  <wps:wsp>
                    <wps:cNvSpPr/>
                    <wps:spPr>
                      <a:xfrm>
                        <a:off x="0" y="0"/>
                        <a:ext cx="16821150" cy="449580"/>
                      </a:xfrm>
                      <a:prstGeom prst="rect">
                        <a:avLst/>
                      </a:prstGeom>
                      <a:solidFill>
                        <a:srgbClr val="021D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8C040" id="Rectangle 1" o:spid="_x0000_s1026" style="position:absolute;margin-left:-96.75pt;margin-top:-40.65pt;width:1324.5pt;height:35.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" fillcolor="#021d5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E6D"/>
    <w:multiLevelType w:val="hybridMultilevel"/>
    <w:tmpl w:val="EBB8A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E27B9"/>
    <w:multiLevelType w:val="hybridMultilevel"/>
    <w:tmpl w:val="8BE8C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A4C01"/>
    <w:multiLevelType w:val="multilevel"/>
    <w:tmpl w:val="F53470D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5507C7"/>
    <w:multiLevelType w:val="hybridMultilevel"/>
    <w:tmpl w:val="FE6AE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CA7314"/>
    <w:multiLevelType w:val="hybridMultilevel"/>
    <w:tmpl w:val="1560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678A5"/>
    <w:multiLevelType w:val="hybridMultilevel"/>
    <w:tmpl w:val="84589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0066C"/>
    <w:multiLevelType w:val="hybridMultilevel"/>
    <w:tmpl w:val="2052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A45C3"/>
    <w:multiLevelType w:val="hybridMultilevel"/>
    <w:tmpl w:val="C826EECA"/>
    <w:lvl w:ilvl="0" w:tplc="3B70B96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A70FC"/>
    <w:multiLevelType w:val="hybridMultilevel"/>
    <w:tmpl w:val="6A14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7457E"/>
    <w:multiLevelType w:val="hybridMultilevel"/>
    <w:tmpl w:val="48960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F3674"/>
    <w:multiLevelType w:val="hybridMultilevel"/>
    <w:tmpl w:val="81EE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0D5713"/>
    <w:multiLevelType w:val="hybridMultilevel"/>
    <w:tmpl w:val="8732F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E4231"/>
    <w:multiLevelType w:val="hybridMultilevel"/>
    <w:tmpl w:val="33CA29F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3A3CEDF5"/>
    <w:multiLevelType w:val="hybridMultilevel"/>
    <w:tmpl w:val="091E35D6"/>
    <w:lvl w:ilvl="0" w:tplc="B1F216CE">
      <w:start w:val="1"/>
      <w:numFmt w:val="bullet"/>
      <w:lvlText w:val=""/>
      <w:lvlJc w:val="left"/>
      <w:pPr>
        <w:ind w:left="720" w:hanging="360"/>
      </w:pPr>
      <w:rPr>
        <w:rFonts w:ascii="Symbol" w:hAnsi="Symbol" w:hint="default"/>
      </w:rPr>
    </w:lvl>
    <w:lvl w:ilvl="1" w:tplc="4B0EEEDC">
      <w:start w:val="1"/>
      <w:numFmt w:val="bullet"/>
      <w:lvlText w:val="o"/>
      <w:lvlJc w:val="left"/>
      <w:pPr>
        <w:ind w:left="1440" w:hanging="360"/>
      </w:pPr>
      <w:rPr>
        <w:rFonts w:ascii="Courier New" w:hAnsi="Courier New" w:hint="default"/>
      </w:rPr>
    </w:lvl>
    <w:lvl w:ilvl="2" w:tplc="296A1C00">
      <w:start w:val="1"/>
      <w:numFmt w:val="bullet"/>
      <w:lvlText w:val=""/>
      <w:lvlJc w:val="left"/>
      <w:pPr>
        <w:ind w:left="2160" w:hanging="360"/>
      </w:pPr>
      <w:rPr>
        <w:rFonts w:ascii="Wingdings" w:hAnsi="Wingdings" w:hint="default"/>
      </w:rPr>
    </w:lvl>
    <w:lvl w:ilvl="3" w:tplc="6E6238E4">
      <w:start w:val="1"/>
      <w:numFmt w:val="bullet"/>
      <w:lvlText w:val=""/>
      <w:lvlJc w:val="left"/>
      <w:pPr>
        <w:ind w:left="2880" w:hanging="360"/>
      </w:pPr>
      <w:rPr>
        <w:rFonts w:ascii="Symbol" w:hAnsi="Symbol" w:hint="default"/>
      </w:rPr>
    </w:lvl>
    <w:lvl w:ilvl="4" w:tplc="FC329A98">
      <w:start w:val="1"/>
      <w:numFmt w:val="bullet"/>
      <w:lvlText w:val="o"/>
      <w:lvlJc w:val="left"/>
      <w:pPr>
        <w:ind w:left="3600" w:hanging="360"/>
      </w:pPr>
      <w:rPr>
        <w:rFonts w:ascii="Courier New" w:hAnsi="Courier New" w:hint="default"/>
      </w:rPr>
    </w:lvl>
    <w:lvl w:ilvl="5" w:tplc="467A4812">
      <w:start w:val="1"/>
      <w:numFmt w:val="bullet"/>
      <w:lvlText w:val=""/>
      <w:lvlJc w:val="left"/>
      <w:pPr>
        <w:ind w:left="4320" w:hanging="360"/>
      </w:pPr>
      <w:rPr>
        <w:rFonts w:ascii="Wingdings" w:hAnsi="Wingdings" w:hint="default"/>
      </w:rPr>
    </w:lvl>
    <w:lvl w:ilvl="6" w:tplc="2B4A37BA">
      <w:start w:val="1"/>
      <w:numFmt w:val="bullet"/>
      <w:lvlText w:val=""/>
      <w:lvlJc w:val="left"/>
      <w:pPr>
        <w:ind w:left="5040" w:hanging="360"/>
      </w:pPr>
      <w:rPr>
        <w:rFonts w:ascii="Symbol" w:hAnsi="Symbol" w:hint="default"/>
      </w:rPr>
    </w:lvl>
    <w:lvl w:ilvl="7" w:tplc="26D65FD8">
      <w:start w:val="1"/>
      <w:numFmt w:val="bullet"/>
      <w:lvlText w:val="o"/>
      <w:lvlJc w:val="left"/>
      <w:pPr>
        <w:ind w:left="5760" w:hanging="360"/>
      </w:pPr>
      <w:rPr>
        <w:rFonts w:ascii="Courier New" w:hAnsi="Courier New" w:hint="default"/>
      </w:rPr>
    </w:lvl>
    <w:lvl w:ilvl="8" w:tplc="54E669B4">
      <w:start w:val="1"/>
      <w:numFmt w:val="bullet"/>
      <w:lvlText w:val=""/>
      <w:lvlJc w:val="left"/>
      <w:pPr>
        <w:ind w:left="6480" w:hanging="360"/>
      </w:pPr>
      <w:rPr>
        <w:rFonts w:ascii="Wingdings" w:hAnsi="Wingdings" w:hint="default"/>
      </w:rPr>
    </w:lvl>
  </w:abstractNum>
  <w:abstractNum w:abstractNumId="14" w15:restartNumberingAfterBreak="0">
    <w:nsid w:val="3F4C7C14"/>
    <w:multiLevelType w:val="hybridMultilevel"/>
    <w:tmpl w:val="CD4457B2"/>
    <w:lvl w:ilvl="0" w:tplc="FFFFFFF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CB71C5"/>
    <w:multiLevelType w:val="hybridMultilevel"/>
    <w:tmpl w:val="11C2A2EC"/>
    <w:lvl w:ilvl="0" w:tplc="F0045B1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61690"/>
    <w:multiLevelType w:val="hybridMultilevel"/>
    <w:tmpl w:val="8B2A6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8241E"/>
    <w:multiLevelType w:val="hybridMultilevel"/>
    <w:tmpl w:val="9CAE4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B0471E"/>
    <w:multiLevelType w:val="hybridMultilevel"/>
    <w:tmpl w:val="35F2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532B60"/>
    <w:multiLevelType w:val="hybridMultilevel"/>
    <w:tmpl w:val="8AFC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37B6D"/>
    <w:multiLevelType w:val="hybridMultilevel"/>
    <w:tmpl w:val="D28E4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9299FA"/>
    <w:multiLevelType w:val="hybridMultilevel"/>
    <w:tmpl w:val="3EF0C7EC"/>
    <w:lvl w:ilvl="0" w:tplc="2EB67C0C">
      <w:start w:val="1"/>
      <w:numFmt w:val="bullet"/>
      <w:lvlText w:val=""/>
      <w:lvlJc w:val="left"/>
      <w:pPr>
        <w:ind w:left="720" w:hanging="360"/>
      </w:pPr>
      <w:rPr>
        <w:rFonts w:ascii="Symbol" w:hAnsi="Symbol" w:hint="default"/>
      </w:rPr>
    </w:lvl>
    <w:lvl w:ilvl="1" w:tplc="34E45F36">
      <w:start w:val="1"/>
      <w:numFmt w:val="bullet"/>
      <w:lvlText w:val="o"/>
      <w:lvlJc w:val="left"/>
      <w:pPr>
        <w:ind w:left="1440" w:hanging="360"/>
      </w:pPr>
      <w:rPr>
        <w:rFonts w:ascii="Courier New" w:hAnsi="Courier New" w:hint="default"/>
      </w:rPr>
    </w:lvl>
    <w:lvl w:ilvl="2" w:tplc="0864230A">
      <w:start w:val="1"/>
      <w:numFmt w:val="bullet"/>
      <w:lvlText w:val=""/>
      <w:lvlJc w:val="left"/>
      <w:pPr>
        <w:ind w:left="2160" w:hanging="360"/>
      </w:pPr>
      <w:rPr>
        <w:rFonts w:ascii="Wingdings" w:hAnsi="Wingdings" w:hint="default"/>
      </w:rPr>
    </w:lvl>
    <w:lvl w:ilvl="3" w:tplc="9AE01B84">
      <w:start w:val="1"/>
      <w:numFmt w:val="bullet"/>
      <w:lvlText w:val=""/>
      <w:lvlJc w:val="left"/>
      <w:pPr>
        <w:ind w:left="2880" w:hanging="360"/>
      </w:pPr>
      <w:rPr>
        <w:rFonts w:ascii="Symbol" w:hAnsi="Symbol" w:hint="default"/>
      </w:rPr>
    </w:lvl>
    <w:lvl w:ilvl="4" w:tplc="1DEA0BD8">
      <w:start w:val="1"/>
      <w:numFmt w:val="bullet"/>
      <w:lvlText w:val="o"/>
      <w:lvlJc w:val="left"/>
      <w:pPr>
        <w:ind w:left="3600" w:hanging="360"/>
      </w:pPr>
      <w:rPr>
        <w:rFonts w:ascii="Courier New" w:hAnsi="Courier New" w:hint="default"/>
      </w:rPr>
    </w:lvl>
    <w:lvl w:ilvl="5" w:tplc="ADD8D22E">
      <w:start w:val="1"/>
      <w:numFmt w:val="bullet"/>
      <w:lvlText w:val=""/>
      <w:lvlJc w:val="left"/>
      <w:pPr>
        <w:ind w:left="4320" w:hanging="360"/>
      </w:pPr>
      <w:rPr>
        <w:rFonts w:ascii="Wingdings" w:hAnsi="Wingdings" w:hint="default"/>
      </w:rPr>
    </w:lvl>
    <w:lvl w:ilvl="6" w:tplc="E766CE76">
      <w:start w:val="1"/>
      <w:numFmt w:val="bullet"/>
      <w:lvlText w:val=""/>
      <w:lvlJc w:val="left"/>
      <w:pPr>
        <w:ind w:left="5040" w:hanging="360"/>
      </w:pPr>
      <w:rPr>
        <w:rFonts w:ascii="Symbol" w:hAnsi="Symbol" w:hint="default"/>
      </w:rPr>
    </w:lvl>
    <w:lvl w:ilvl="7" w:tplc="055C014C">
      <w:start w:val="1"/>
      <w:numFmt w:val="bullet"/>
      <w:lvlText w:val="o"/>
      <w:lvlJc w:val="left"/>
      <w:pPr>
        <w:ind w:left="5760" w:hanging="360"/>
      </w:pPr>
      <w:rPr>
        <w:rFonts w:ascii="Courier New" w:hAnsi="Courier New" w:hint="default"/>
      </w:rPr>
    </w:lvl>
    <w:lvl w:ilvl="8" w:tplc="3704FC9A">
      <w:start w:val="1"/>
      <w:numFmt w:val="bullet"/>
      <w:lvlText w:val=""/>
      <w:lvlJc w:val="left"/>
      <w:pPr>
        <w:ind w:left="6480" w:hanging="360"/>
      </w:pPr>
      <w:rPr>
        <w:rFonts w:ascii="Wingdings" w:hAnsi="Wingdings" w:hint="default"/>
      </w:rPr>
    </w:lvl>
  </w:abstractNum>
  <w:abstractNum w:abstractNumId="22" w15:restartNumberingAfterBreak="0">
    <w:nsid w:val="5439477C"/>
    <w:multiLevelType w:val="hybridMultilevel"/>
    <w:tmpl w:val="3F8E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2170F3"/>
    <w:multiLevelType w:val="hybridMultilevel"/>
    <w:tmpl w:val="10CCA3DA"/>
    <w:lvl w:ilvl="0" w:tplc="8D56B200">
      <w:start w:val="1"/>
      <w:numFmt w:val="bullet"/>
      <w:lvlText w:val=""/>
      <w:lvlJc w:val="left"/>
      <w:pPr>
        <w:ind w:left="1080" w:hanging="360"/>
      </w:pPr>
      <w:rPr>
        <w:rFonts w:ascii="Symbol" w:hAnsi="Symbol" w:hint="default"/>
      </w:rPr>
    </w:lvl>
    <w:lvl w:ilvl="1" w:tplc="28FEFF32">
      <w:start w:val="1"/>
      <w:numFmt w:val="bullet"/>
      <w:lvlText w:val="o"/>
      <w:lvlJc w:val="left"/>
      <w:pPr>
        <w:ind w:left="1800" w:hanging="360"/>
      </w:pPr>
      <w:rPr>
        <w:rFonts w:ascii="Courier New" w:hAnsi="Courier New" w:hint="default"/>
      </w:rPr>
    </w:lvl>
    <w:lvl w:ilvl="2" w:tplc="BF14E798">
      <w:start w:val="1"/>
      <w:numFmt w:val="bullet"/>
      <w:lvlText w:val=""/>
      <w:lvlJc w:val="left"/>
      <w:pPr>
        <w:ind w:left="2520" w:hanging="360"/>
      </w:pPr>
      <w:rPr>
        <w:rFonts w:ascii="Wingdings" w:hAnsi="Wingdings" w:hint="default"/>
      </w:rPr>
    </w:lvl>
    <w:lvl w:ilvl="3" w:tplc="2FB22A9A">
      <w:start w:val="1"/>
      <w:numFmt w:val="bullet"/>
      <w:lvlText w:val=""/>
      <w:lvlJc w:val="left"/>
      <w:pPr>
        <w:ind w:left="3240" w:hanging="360"/>
      </w:pPr>
      <w:rPr>
        <w:rFonts w:ascii="Symbol" w:hAnsi="Symbol" w:hint="default"/>
      </w:rPr>
    </w:lvl>
    <w:lvl w:ilvl="4" w:tplc="A766A438">
      <w:start w:val="1"/>
      <w:numFmt w:val="bullet"/>
      <w:lvlText w:val="o"/>
      <w:lvlJc w:val="left"/>
      <w:pPr>
        <w:ind w:left="3960" w:hanging="360"/>
      </w:pPr>
      <w:rPr>
        <w:rFonts w:ascii="Courier New" w:hAnsi="Courier New" w:hint="default"/>
      </w:rPr>
    </w:lvl>
    <w:lvl w:ilvl="5" w:tplc="90D23404">
      <w:start w:val="1"/>
      <w:numFmt w:val="bullet"/>
      <w:lvlText w:val=""/>
      <w:lvlJc w:val="left"/>
      <w:pPr>
        <w:ind w:left="4680" w:hanging="360"/>
      </w:pPr>
      <w:rPr>
        <w:rFonts w:ascii="Wingdings" w:hAnsi="Wingdings" w:hint="default"/>
      </w:rPr>
    </w:lvl>
    <w:lvl w:ilvl="6" w:tplc="DDA0E746">
      <w:start w:val="1"/>
      <w:numFmt w:val="bullet"/>
      <w:lvlText w:val=""/>
      <w:lvlJc w:val="left"/>
      <w:pPr>
        <w:ind w:left="5400" w:hanging="360"/>
      </w:pPr>
      <w:rPr>
        <w:rFonts w:ascii="Symbol" w:hAnsi="Symbol" w:hint="default"/>
      </w:rPr>
    </w:lvl>
    <w:lvl w:ilvl="7" w:tplc="0088D3FE">
      <w:start w:val="1"/>
      <w:numFmt w:val="bullet"/>
      <w:lvlText w:val="o"/>
      <w:lvlJc w:val="left"/>
      <w:pPr>
        <w:ind w:left="6120" w:hanging="360"/>
      </w:pPr>
      <w:rPr>
        <w:rFonts w:ascii="Courier New" w:hAnsi="Courier New" w:hint="default"/>
      </w:rPr>
    </w:lvl>
    <w:lvl w:ilvl="8" w:tplc="69706A14">
      <w:start w:val="1"/>
      <w:numFmt w:val="bullet"/>
      <w:lvlText w:val=""/>
      <w:lvlJc w:val="left"/>
      <w:pPr>
        <w:ind w:left="6840" w:hanging="360"/>
      </w:pPr>
      <w:rPr>
        <w:rFonts w:ascii="Wingdings" w:hAnsi="Wingdings" w:hint="default"/>
      </w:rPr>
    </w:lvl>
  </w:abstractNum>
  <w:abstractNum w:abstractNumId="24" w15:restartNumberingAfterBreak="0">
    <w:nsid w:val="72917F5A"/>
    <w:multiLevelType w:val="hybridMultilevel"/>
    <w:tmpl w:val="92869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B00BCB"/>
    <w:multiLevelType w:val="hybridMultilevel"/>
    <w:tmpl w:val="4080F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5E71AB"/>
    <w:multiLevelType w:val="hybridMultilevel"/>
    <w:tmpl w:val="DF882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663001">
    <w:abstractNumId w:val="23"/>
  </w:num>
  <w:num w:numId="2" w16cid:durableId="1462306985">
    <w:abstractNumId w:val="21"/>
  </w:num>
  <w:num w:numId="3" w16cid:durableId="1232622526">
    <w:abstractNumId w:val="13"/>
  </w:num>
  <w:num w:numId="4" w16cid:durableId="2124836010">
    <w:abstractNumId w:val="2"/>
  </w:num>
  <w:num w:numId="5" w16cid:durableId="1050567033">
    <w:abstractNumId w:val="7"/>
  </w:num>
  <w:num w:numId="6" w16cid:durableId="1669480209">
    <w:abstractNumId w:val="14"/>
  </w:num>
  <w:num w:numId="7" w16cid:durableId="1469976739">
    <w:abstractNumId w:val="1"/>
  </w:num>
  <w:num w:numId="8" w16cid:durableId="793670737">
    <w:abstractNumId w:val="9"/>
  </w:num>
  <w:num w:numId="9" w16cid:durableId="100498578">
    <w:abstractNumId w:val="20"/>
  </w:num>
  <w:num w:numId="10" w16cid:durableId="1531532946">
    <w:abstractNumId w:val="24"/>
  </w:num>
  <w:num w:numId="11" w16cid:durableId="1659772443">
    <w:abstractNumId w:val="8"/>
  </w:num>
  <w:num w:numId="12" w16cid:durableId="803625339">
    <w:abstractNumId w:val="25"/>
  </w:num>
  <w:num w:numId="13" w16cid:durableId="871651724">
    <w:abstractNumId w:val="4"/>
  </w:num>
  <w:num w:numId="14" w16cid:durableId="869299963">
    <w:abstractNumId w:val="16"/>
  </w:num>
  <w:num w:numId="15" w16cid:durableId="1012612987">
    <w:abstractNumId w:val="10"/>
  </w:num>
  <w:num w:numId="16" w16cid:durableId="104618072">
    <w:abstractNumId w:val="0"/>
  </w:num>
  <w:num w:numId="17" w16cid:durableId="451755344">
    <w:abstractNumId w:val="22"/>
  </w:num>
  <w:num w:numId="18" w16cid:durableId="1888374359">
    <w:abstractNumId w:val="5"/>
  </w:num>
  <w:num w:numId="19" w16cid:durableId="865557985">
    <w:abstractNumId w:val="18"/>
  </w:num>
  <w:num w:numId="20" w16cid:durableId="756175280">
    <w:abstractNumId w:val="6"/>
  </w:num>
  <w:num w:numId="21" w16cid:durableId="1433356761">
    <w:abstractNumId w:val="17"/>
  </w:num>
  <w:num w:numId="22" w16cid:durableId="1242526054">
    <w:abstractNumId w:val="12"/>
  </w:num>
  <w:num w:numId="23" w16cid:durableId="1957520501">
    <w:abstractNumId w:val="11"/>
  </w:num>
  <w:num w:numId="24" w16cid:durableId="1998266669">
    <w:abstractNumId w:val="15"/>
  </w:num>
  <w:num w:numId="25" w16cid:durableId="988554831">
    <w:abstractNumId w:val="19"/>
  </w:num>
  <w:num w:numId="26" w16cid:durableId="1098254559">
    <w:abstractNumId w:val="26"/>
  </w:num>
  <w:num w:numId="27" w16cid:durableId="34583640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79"/>
    <w:rsid w:val="00000011"/>
    <w:rsid w:val="0000027C"/>
    <w:rsid w:val="000005B7"/>
    <w:rsid w:val="00001360"/>
    <w:rsid w:val="0000154F"/>
    <w:rsid w:val="000015E4"/>
    <w:rsid w:val="000017C7"/>
    <w:rsid w:val="000019A5"/>
    <w:rsid w:val="00001BBF"/>
    <w:rsid w:val="00001C0C"/>
    <w:rsid w:val="00001CA9"/>
    <w:rsid w:val="00002531"/>
    <w:rsid w:val="000026AF"/>
    <w:rsid w:val="00002973"/>
    <w:rsid w:val="00002A17"/>
    <w:rsid w:val="00002CCE"/>
    <w:rsid w:val="000030ED"/>
    <w:rsid w:val="000037C7"/>
    <w:rsid w:val="00003939"/>
    <w:rsid w:val="00003FEB"/>
    <w:rsid w:val="0000436A"/>
    <w:rsid w:val="00004552"/>
    <w:rsid w:val="00004691"/>
    <w:rsid w:val="00004747"/>
    <w:rsid w:val="000048ED"/>
    <w:rsid w:val="00004972"/>
    <w:rsid w:val="00005632"/>
    <w:rsid w:val="00005637"/>
    <w:rsid w:val="00005842"/>
    <w:rsid w:val="00005A22"/>
    <w:rsid w:val="00005FF1"/>
    <w:rsid w:val="000061A9"/>
    <w:rsid w:val="0000676E"/>
    <w:rsid w:val="000067E4"/>
    <w:rsid w:val="00006975"/>
    <w:rsid w:val="00006CFB"/>
    <w:rsid w:val="00006D7C"/>
    <w:rsid w:val="00006E60"/>
    <w:rsid w:val="00006F08"/>
    <w:rsid w:val="00006F4E"/>
    <w:rsid w:val="00007225"/>
    <w:rsid w:val="000076A4"/>
    <w:rsid w:val="00007990"/>
    <w:rsid w:val="00007CBB"/>
    <w:rsid w:val="00007E5E"/>
    <w:rsid w:val="00007F65"/>
    <w:rsid w:val="00010142"/>
    <w:rsid w:val="00010204"/>
    <w:rsid w:val="00010301"/>
    <w:rsid w:val="00010369"/>
    <w:rsid w:val="000104BD"/>
    <w:rsid w:val="000105D8"/>
    <w:rsid w:val="00010BC4"/>
    <w:rsid w:val="00011407"/>
    <w:rsid w:val="0001159A"/>
    <w:rsid w:val="0001172A"/>
    <w:rsid w:val="000117A9"/>
    <w:rsid w:val="00011E26"/>
    <w:rsid w:val="000121B8"/>
    <w:rsid w:val="00012576"/>
    <w:rsid w:val="000128AA"/>
    <w:rsid w:val="000128C4"/>
    <w:rsid w:val="000129AC"/>
    <w:rsid w:val="0001303B"/>
    <w:rsid w:val="000131E7"/>
    <w:rsid w:val="000136E5"/>
    <w:rsid w:val="0001373E"/>
    <w:rsid w:val="0001391F"/>
    <w:rsid w:val="000139DE"/>
    <w:rsid w:val="00013B36"/>
    <w:rsid w:val="00013F19"/>
    <w:rsid w:val="00014078"/>
    <w:rsid w:val="0001483B"/>
    <w:rsid w:val="00014F98"/>
    <w:rsid w:val="00014FB5"/>
    <w:rsid w:val="0001505E"/>
    <w:rsid w:val="0001585F"/>
    <w:rsid w:val="000158F7"/>
    <w:rsid w:val="00015B3D"/>
    <w:rsid w:val="00015C52"/>
    <w:rsid w:val="000161B5"/>
    <w:rsid w:val="000165BD"/>
    <w:rsid w:val="000167B9"/>
    <w:rsid w:val="0001683A"/>
    <w:rsid w:val="00016AF2"/>
    <w:rsid w:val="00016F98"/>
    <w:rsid w:val="00017131"/>
    <w:rsid w:val="00017444"/>
    <w:rsid w:val="00017610"/>
    <w:rsid w:val="000176AE"/>
    <w:rsid w:val="000176D5"/>
    <w:rsid w:val="00017D2B"/>
    <w:rsid w:val="00017FA3"/>
    <w:rsid w:val="0002057F"/>
    <w:rsid w:val="000205F5"/>
    <w:rsid w:val="00020667"/>
    <w:rsid w:val="00021000"/>
    <w:rsid w:val="0002157C"/>
    <w:rsid w:val="0002194A"/>
    <w:rsid w:val="00021D6B"/>
    <w:rsid w:val="00022432"/>
    <w:rsid w:val="000226A8"/>
    <w:rsid w:val="00022B62"/>
    <w:rsid w:val="00022BA5"/>
    <w:rsid w:val="00023C09"/>
    <w:rsid w:val="000244B3"/>
    <w:rsid w:val="00024567"/>
    <w:rsid w:val="0002477F"/>
    <w:rsid w:val="00024B75"/>
    <w:rsid w:val="00024BFC"/>
    <w:rsid w:val="00024F9F"/>
    <w:rsid w:val="0002505D"/>
    <w:rsid w:val="0002531F"/>
    <w:rsid w:val="000255E6"/>
    <w:rsid w:val="0002563D"/>
    <w:rsid w:val="00025A0B"/>
    <w:rsid w:val="00025B56"/>
    <w:rsid w:val="00025F1E"/>
    <w:rsid w:val="000264D6"/>
    <w:rsid w:val="000267FE"/>
    <w:rsid w:val="00026899"/>
    <w:rsid w:val="00026966"/>
    <w:rsid w:val="00026C7B"/>
    <w:rsid w:val="00026EAE"/>
    <w:rsid w:val="0002719A"/>
    <w:rsid w:val="000271E1"/>
    <w:rsid w:val="000272AE"/>
    <w:rsid w:val="000273A8"/>
    <w:rsid w:val="00027422"/>
    <w:rsid w:val="00027998"/>
    <w:rsid w:val="00027AD3"/>
    <w:rsid w:val="00027DC9"/>
    <w:rsid w:val="00030454"/>
    <w:rsid w:val="00030676"/>
    <w:rsid w:val="000306E3"/>
    <w:rsid w:val="00030A9E"/>
    <w:rsid w:val="00030CB0"/>
    <w:rsid w:val="00030D89"/>
    <w:rsid w:val="00030D9B"/>
    <w:rsid w:val="00030E41"/>
    <w:rsid w:val="00030E7F"/>
    <w:rsid w:val="000314DF"/>
    <w:rsid w:val="0003177D"/>
    <w:rsid w:val="00031819"/>
    <w:rsid w:val="00031915"/>
    <w:rsid w:val="00031D00"/>
    <w:rsid w:val="00031F14"/>
    <w:rsid w:val="00032280"/>
    <w:rsid w:val="00033228"/>
    <w:rsid w:val="0003380C"/>
    <w:rsid w:val="00033B7B"/>
    <w:rsid w:val="00033C18"/>
    <w:rsid w:val="0003410B"/>
    <w:rsid w:val="00034A12"/>
    <w:rsid w:val="0003523C"/>
    <w:rsid w:val="000354AD"/>
    <w:rsid w:val="00035697"/>
    <w:rsid w:val="00035B2B"/>
    <w:rsid w:val="00035D9E"/>
    <w:rsid w:val="00035F00"/>
    <w:rsid w:val="000362DA"/>
    <w:rsid w:val="000364F5"/>
    <w:rsid w:val="0003681B"/>
    <w:rsid w:val="00036842"/>
    <w:rsid w:val="00036875"/>
    <w:rsid w:val="00036B22"/>
    <w:rsid w:val="00036FEC"/>
    <w:rsid w:val="00036FF3"/>
    <w:rsid w:val="0003714C"/>
    <w:rsid w:val="0003728C"/>
    <w:rsid w:val="00037833"/>
    <w:rsid w:val="00037A3F"/>
    <w:rsid w:val="00037ACC"/>
    <w:rsid w:val="00037E5F"/>
    <w:rsid w:val="00037EA3"/>
    <w:rsid w:val="00040702"/>
    <w:rsid w:val="000411E3"/>
    <w:rsid w:val="0004127E"/>
    <w:rsid w:val="000412A7"/>
    <w:rsid w:val="000412BE"/>
    <w:rsid w:val="00041556"/>
    <w:rsid w:val="00041A5F"/>
    <w:rsid w:val="00041B54"/>
    <w:rsid w:val="00041F30"/>
    <w:rsid w:val="00041F4B"/>
    <w:rsid w:val="0004203E"/>
    <w:rsid w:val="00042070"/>
    <w:rsid w:val="000420ED"/>
    <w:rsid w:val="000421BC"/>
    <w:rsid w:val="000424AC"/>
    <w:rsid w:val="000425C2"/>
    <w:rsid w:val="0004270C"/>
    <w:rsid w:val="00042BCB"/>
    <w:rsid w:val="00042CAC"/>
    <w:rsid w:val="00042E8D"/>
    <w:rsid w:val="00042EF6"/>
    <w:rsid w:val="00042FEC"/>
    <w:rsid w:val="000430E6"/>
    <w:rsid w:val="0004320E"/>
    <w:rsid w:val="00043642"/>
    <w:rsid w:val="0004378B"/>
    <w:rsid w:val="00043A18"/>
    <w:rsid w:val="00043E82"/>
    <w:rsid w:val="00044085"/>
    <w:rsid w:val="00044619"/>
    <w:rsid w:val="00044B79"/>
    <w:rsid w:val="000451A3"/>
    <w:rsid w:val="0004524A"/>
    <w:rsid w:val="00045B94"/>
    <w:rsid w:val="00045CDE"/>
    <w:rsid w:val="00045EAC"/>
    <w:rsid w:val="00046166"/>
    <w:rsid w:val="00046265"/>
    <w:rsid w:val="000462A3"/>
    <w:rsid w:val="0004676E"/>
    <w:rsid w:val="00046A41"/>
    <w:rsid w:val="00046ECB"/>
    <w:rsid w:val="0004701C"/>
    <w:rsid w:val="000471B5"/>
    <w:rsid w:val="0004743B"/>
    <w:rsid w:val="0004754E"/>
    <w:rsid w:val="000476C1"/>
    <w:rsid w:val="00047A74"/>
    <w:rsid w:val="00047B9D"/>
    <w:rsid w:val="00047BB3"/>
    <w:rsid w:val="00047E16"/>
    <w:rsid w:val="00047E6D"/>
    <w:rsid w:val="000501D2"/>
    <w:rsid w:val="00050512"/>
    <w:rsid w:val="0005087D"/>
    <w:rsid w:val="00050977"/>
    <w:rsid w:val="00050E97"/>
    <w:rsid w:val="000512EF"/>
    <w:rsid w:val="00051327"/>
    <w:rsid w:val="00051340"/>
    <w:rsid w:val="000518E6"/>
    <w:rsid w:val="00051990"/>
    <w:rsid w:val="00052339"/>
    <w:rsid w:val="00052387"/>
    <w:rsid w:val="00052956"/>
    <w:rsid w:val="00052AA7"/>
    <w:rsid w:val="00052AE1"/>
    <w:rsid w:val="00052EEE"/>
    <w:rsid w:val="00053576"/>
    <w:rsid w:val="0005369C"/>
    <w:rsid w:val="000538F7"/>
    <w:rsid w:val="00053A0D"/>
    <w:rsid w:val="00053ABE"/>
    <w:rsid w:val="00053BAB"/>
    <w:rsid w:val="0005441F"/>
    <w:rsid w:val="000544ED"/>
    <w:rsid w:val="00055547"/>
    <w:rsid w:val="000563C6"/>
    <w:rsid w:val="0005641C"/>
    <w:rsid w:val="000565DC"/>
    <w:rsid w:val="00056696"/>
    <w:rsid w:val="00056BC5"/>
    <w:rsid w:val="00056C50"/>
    <w:rsid w:val="00056E97"/>
    <w:rsid w:val="00056ECD"/>
    <w:rsid w:val="00056FC4"/>
    <w:rsid w:val="000575ED"/>
    <w:rsid w:val="000577F3"/>
    <w:rsid w:val="000579B6"/>
    <w:rsid w:val="00057A54"/>
    <w:rsid w:val="00057B38"/>
    <w:rsid w:val="00057F9E"/>
    <w:rsid w:val="0006014B"/>
    <w:rsid w:val="00060365"/>
    <w:rsid w:val="0006061D"/>
    <w:rsid w:val="0006068A"/>
    <w:rsid w:val="00060787"/>
    <w:rsid w:val="000608E6"/>
    <w:rsid w:val="000609A2"/>
    <w:rsid w:val="00060B30"/>
    <w:rsid w:val="00060C11"/>
    <w:rsid w:val="00060D54"/>
    <w:rsid w:val="00060D91"/>
    <w:rsid w:val="00060E9C"/>
    <w:rsid w:val="00060FB2"/>
    <w:rsid w:val="0006111D"/>
    <w:rsid w:val="000614C6"/>
    <w:rsid w:val="00061D1D"/>
    <w:rsid w:val="0006241D"/>
    <w:rsid w:val="0006277A"/>
    <w:rsid w:val="00062893"/>
    <w:rsid w:val="00062995"/>
    <w:rsid w:val="00062FC7"/>
    <w:rsid w:val="000639F7"/>
    <w:rsid w:val="000639FA"/>
    <w:rsid w:val="000640B8"/>
    <w:rsid w:val="000642AD"/>
    <w:rsid w:val="0006442F"/>
    <w:rsid w:val="00064672"/>
    <w:rsid w:val="000647AA"/>
    <w:rsid w:val="00064B12"/>
    <w:rsid w:val="00064B67"/>
    <w:rsid w:val="00064D69"/>
    <w:rsid w:val="00064FC0"/>
    <w:rsid w:val="00065549"/>
    <w:rsid w:val="000659B7"/>
    <w:rsid w:val="00065A98"/>
    <w:rsid w:val="00065AE2"/>
    <w:rsid w:val="00066019"/>
    <w:rsid w:val="000669F9"/>
    <w:rsid w:val="00066D46"/>
    <w:rsid w:val="00066F67"/>
    <w:rsid w:val="000670A0"/>
    <w:rsid w:val="00067279"/>
    <w:rsid w:val="00067CF6"/>
    <w:rsid w:val="00067E72"/>
    <w:rsid w:val="00070063"/>
    <w:rsid w:val="0007062D"/>
    <w:rsid w:val="00070F45"/>
    <w:rsid w:val="00071D04"/>
    <w:rsid w:val="00071D55"/>
    <w:rsid w:val="000721C9"/>
    <w:rsid w:val="0007291D"/>
    <w:rsid w:val="00072A14"/>
    <w:rsid w:val="00072B3A"/>
    <w:rsid w:val="00072F72"/>
    <w:rsid w:val="000731F5"/>
    <w:rsid w:val="0007321A"/>
    <w:rsid w:val="00073535"/>
    <w:rsid w:val="00073666"/>
    <w:rsid w:val="000736A9"/>
    <w:rsid w:val="0007373C"/>
    <w:rsid w:val="00073880"/>
    <w:rsid w:val="00073943"/>
    <w:rsid w:val="00073FF1"/>
    <w:rsid w:val="00074D8C"/>
    <w:rsid w:val="0007509F"/>
    <w:rsid w:val="000751FA"/>
    <w:rsid w:val="0007533E"/>
    <w:rsid w:val="0007533F"/>
    <w:rsid w:val="00075391"/>
    <w:rsid w:val="00075639"/>
    <w:rsid w:val="000756B2"/>
    <w:rsid w:val="000758AF"/>
    <w:rsid w:val="00075979"/>
    <w:rsid w:val="00075BD0"/>
    <w:rsid w:val="00075E68"/>
    <w:rsid w:val="00075F1C"/>
    <w:rsid w:val="00075FAF"/>
    <w:rsid w:val="0007685A"/>
    <w:rsid w:val="00076998"/>
    <w:rsid w:val="00077202"/>
    <w:rsid w:val="000774BA"/>
    <w:rsid w:val="0007770A"/>
    <w:rsid w:val="0007775C"/>
    <w:rsid w:val="00077C5A"/>
    <w:rsid w:val="00077EEA"/>
    <w:rsid w:val="00080002"/>
    <w:rsid w:val="00080560"/>
    <w:rsid w:val="000806D6"/>
    <w:rsid w:val="00080A7E"/>
    <w:rsid w:val="00080C7A"/>
    <w:rsid w:val="00080C89"/>
    <w:rsid w:val="00080F29"/>
    <w:rsid w:val="0008113F"/>
    <w:rsid w:val="00081201"/>
    <w:rsid w:val="00081977"/>
    <w:rsid w:val="0008197D"/>
    <w:rsid w:val="00081A42"/>
    <w:rsid w:val="00081C25"/>
    <w:rsid w:val="000820EA"/>
    <w:rsid w:val="0008219B"/>
    <w:rsid w:val="00082509"/>
    <w:rsid w:val="00082645"/>
    <w:rsid w:val="000826F8"/>
    <w:rsid w:val="00082CAF"/>
    <w:rsid w:val="0008305F"/>
    <w:rsid w:val="00083119"/>
    <w:rsid w:val="000831D9"/>
    <w:rsid w:val="00083C8D"/>
    <w:rsid w:val="000846FD"/>
    <w:rsid w:val="00084957"/>
    <w:rsid w:val="000849B1"/>
    <w:rsid w:val="0008503F"/>
    <w:rsid w:val="00085050"/>
    <w:rsid w:val="00085088"/>
    <w:rsid w:val="0008543E"/>
    <w:rsid w:val="000855D2"/>
    <w:rsid w:val="00085E49"/>
    <w:rsid w:val="00086277"/>
    <w:rsid w:val="0008646D"/>
    <w:rsid w:val="0008646E"/>
    <w:rsid w:val="0008658C"/>
    <w:rsid w:val="00086B04"/>
    <w:rsid w:val="00086E44"/>
    <w:rsid w:val="00086E61"/>
    <w:rsid w:val="00086FD6"/>
    <w:rsid w:val="000878BD"/>
    <w:rsid w:val="00087E64"/>
    <w:rsid w:val="00087EA9"/>
    <w:rsid w:val="00090358"/>
    <w:rsid w:val="00090470"/>
    <w:rsid w:val="000904F6"/>
    <w:rsid w:val="000906CC"/>
    <w:rsid w:val="00090DA0"/>
    <w:rsid w:val="00091244"/>
    <w:rsid w:val="000913ED"/>
    <w:rsid w:val="0009149D"/>
    <w:rsid w:val="00091626"/>
    <w:rsid w:val="00091775"/>
    <w:rsid w:val="000918C2"/>
    <w:rsid w:val="00091939"/>
    <w:rsid w:val="00091BF5"/>
    <w:rsid w:val="000920D1"/>
    <w:rsid w:val="00092403"/>
    <w:rsid w:val="000930E1"/>
    <w:rsid w:val="0009328E"/>
    <w:rsid w:val="000933FF"/>
    <w:rsid w:val="0009359A"/>
    <w:rsid w:val="00093635"/>
    <w:rsid w:val="0009395F"/>
    <w:rsid w:val="00093CCF"/>
    <w:rsid w:val="00093CF1"/>
    <w:rsid w:val="000943AB"/>
    <w:rsid w:val="000945C0"/>
    <w:rsid w:val="000945E1"/>
    <w:rsid w:val="00094644"/>
    <w:rsid w:val="00094DC0"/>
    <w:rsid w:val="00095521"/>
    <w:rsid w:val="000955D8"/>
    <w:rsid w:val="00095B22"/>
    <w:rsid w:val="00095F4C"/>
    <w:rsid w:val="00096298"/>
    <w:rsid w:val="00096332"/>
    <w:rsid w:val="000964FF"/>
    <w:rsid w:val="0009675A"/>
    <w:rsid w:val="00096AA3"/>
    <w:rsid w:val="0009741F"/>
    <w:rsid w:val="00097987"/>
    <w:rsid w:val="00097AA2"/>
    <w:rsid w:val="00097C6F"/>
    <w:rsid w:val="000A023F"/>
    <w:rsid w:val="000A02A7"/>
    <w:rsid w:val="000A04ED"/>
    <w:rsid w:val="000A077C"/>
    <w:rsid w:val="000A07D9"/>
    <w:rsid w:val="000A0C78"/>
    <w:rsid w:val="000A10E1"/>
    <w:rsid w:val="000A11E9"/>
    <w:rsid w:val="000A184A"/>
    <w:rsid w:val="000A1913"/>
    <w:rsid w:val="000A1C9F"/>
    <w:rsid w:val="000A2348"/>
    <w:rsid w:val="000A284E"/>
    <w:rsid w:val="000A2C73"/>
    <w:rsid w:val="000A308F"/>
    <w:rsid w:val="000A3347"/>
    <w:rsid w:val="000A3367"/>
    <w:rsid w:val="000A3547"/>
    <w:rsid w:val="000A3838"/>
    <w:rsid w:val="000A420C"/>
    <w:rsid w:val="000A4244"/>
    <w:rsid w:val="000A4767"/>
    <w:rsid w:val="000A4A24"/>
    <w:rsid w:val="000A573B"/>
    <w:rsid w:val="000A57B3"/>
    <w:rsid w:val="000A588D"/>
    <w:rsid w:val="000A5B7C"/>
    <w:rsid w:val="000A5CD0"/>
    <w:rsid w:val="000A5CE3"/>
    <w:rsid w:val="000A5CF8"/>
    <w:rsid w:val="000A5EDB"/>
    <w:rsid w:val="000A6007"/>
    <w:rsid w:val="000A626A"/>
    <w:rsid w:val="000A6331"/>
    <w:rsid w:val="000A64F3"/>
    <w:rsid w:val="000A6766"/>
    <w:rsid w:val="000A6780"/>
    <w:rsid w:val="000A6B92"/>
    <w:rsid w:val="000A6CBC"/>
    <w:rsid w:val="000A74FF"/>
    <w:rsid w:val="000A773B"/>
    <w:rsid w:val="000A78F6"/>
    <w:rsid w:val="000A7BE4"/>
    <w:rsid w:val="000A7F70"/>
    <w:rsid w:val="000B01D4"/>
    <w:rsid w:val="000B082E"/>
    <w:rsid w:val="000B09F5"/>
    <w:rsid w:val="000B0C69"/>
    <w:rsid w:val="000B0E33"/>
    <w:rsid w:val="000B0FDD"/>
    <w:rsid w:val="000B105B"/>
    <w:rsid w:val="000B1136"/>
    <w:rsid w:val="000B1272"/>
    <w:rsid w:val="000B14CD"/>
    <w:rsid w:val="000B15F0"/>
    <w:rsid w:val="000B1BED"/>
    <w:rsid w:val="000B1C9B"/>
    <w:rsid w:val="000B1EB8"/>
    <w:rsid w:val="000B206F"/>
    <w:rsid w:val="000B2335"/>
    <w:rsid w:val="000B245F"/>
    <w:rsid w:val="000B2FA0"/>
    <w:rsid w:val="000B3602"/>
    <w:rsid w:val="000B38B1"/>
    <w:rsid w:val="000B3F0F"/>
    <w:rsid w:val="000B434A"/>
    <w:rsid w:val="000B43D3"/>
    <w:rsid w:val="000B44B8"/>
    <w:rsid w:val="000B4753"/>
    <w:rsid w:val="000B484E"/>
    <w:rsid w:val="000B4DBE"/>
    <w:rsid w:val="000B4F01"/>
    <w:rsid w:val="000B4FC9"/>
    <w:rsid w:val="000B54CC"/>
    <w:rsid w:val="000B5711"/>
    <w:rsid w:val="000B5848"/>
    <w:rsid w:val="000B5905"/>
    <w:rsid w:val="000B5BE4"/>
    <w:rsid w:val="000B5F9A"/>
    <w:rsid w:val="000B5FDB"/>
    <w:rsid w:val="000B63F2"/>
    <w:rsid w:val="000B648F"/>
    <w:rsid w:val="000B69BB"/>
    <w:rsid w:val="000B6BBF"/>
    <w:rsid w:val="000B6E60"/>
    <w:rsid w:val="000B6F53"/>
    <w:rsid w:val="000B6F61"/>
    <w:rsid w:val="000C010C"/>
    <w:rsid w:val="000C0293"/>
    <w:rsid w:val="000C02E4"/>
    <w:rsid w:val="000C03C5"/>
    <w:rsid w:val="000C041A"/>
    <w:rsid w:val="000C05A0"/>
    <w:rsid w:val="000C05CC"/>
    <w:rsid w:val="000C073E"/>
    <w:rsid w:val="000C07D8"/>
    <w:rsid w:val="000C08B3"/>
    <w:rsid w:val="000C0C4C"/>
    <w:rsid w:val="000C11A9"/>
    <w:rsid w:val="000C1204"/>
    <w:rsid w:val="000C12F4"/>
    <w:rsid w:val="000C15EE"/>
    <w:rsid w:val="000C18CC"/>
    <w:rsid w:val="000C197E"/>
    <w:rsid w:val="000C198D"/>
    <w:rsid w:val="000C1A54"/>
    <w:rsid w:val="000C1AF7"/>
    <w:rsid w:val="000C2382"/>
    <w:rsid w:val="000C28D8"/>
    <w:rsid w:val="000C2B08"/>
    <w:rsid w:val="000C2CD1"/>
    <w:rsid w:val="000C2D65"/>
    <w:rsid w:val="000C2DD6"/>
    <w:rsid w:val="000C2FA5"/>
    <w:rsid w:val="000C30A6"/>
    <w:rsid w:val="000C3217"/>
    <w:rsid w:val="000C32E1"/>
    <w:rsid w:val="000C34A4"/>
    <w:rsid w:val="000C364A"/>
    <w:rsid w:val="000C3D33"/>
    <w:rsid w:val="000C4F1F"/>
    <w:rsid w:val="000C544E"/>
    <w:rsid w:val="000C56F7"/>
    <w:rsid w:val="000C586E"/>
    <w:rsid w:val="000C5888"/>
    <w:rsid w:val="000C5B8D"/>
    <w:rsid w:val="000C5EE9"/>
    <w:rsid w:val="000C5F11"/>
    <w:rsid w:val="000C6051"/>
    <w:rsid w:val="000C64EF"/>
    <w:rsid w:val="000C68C7"/>
    <w:rsid w:val="000C6E24"/>
    <w:rsid w:val="000C6FB6"/>
    <w:rsid w:val="000C7354"/>
    <w:rsid w:val="000C7721"/>
    <w:rsid w:val="000C77D2"/>
    <w:rsid w:val="000C7A27"/>
    <w:rsid w:val="000C7C61"/>
    <w:rsid w:val="000C7CED"/>
    <w:rsid w:val="000D01C1"/>
    <w:rsid w:val="000D0483"/>
    <w:rsid w:val="000D0487"/>
    <w:rsid w:val="000D050B"/>
    <w:rsid w:val="000D0561"/>
    <w:rsid w:val="000D0702"/>
    <w:rsid w:val="000D0727"/>
    <w:rsid w:val="000D0A77"/>
    <w:rsid w:val="000D0BE3"/>
    <w:rsid w:val="000D0BF3"/>
    <w:rsid w:val="000D0C67"/>
    <w:rsid w:val="000D1011"/>
    <w:rsid w:val="000D1801"/>
    <w:rsid w:val="000D1DD2"/>
    <w:rsid w:val="000D1DDA"/>
    <w:rsid w:val="000D1F3E"/>
    <w:rsid w:val="000D1F9E"/>
    <w:rsid w:val="000D24FE"/>
    <w:rsid w:val="000D28E2"/>
    <w:rsid w:val="000D28ED"/>
    <w:rsid w:val="000D2A34"/>
    <w:rsid w:val="000D2B3C"/>
    <w:rsid w:val="000D2C54"/>
    <w:rsid w:val="000D2FF0"/>
    <w:rsid w:val="000D3035"/>
    <w:rsid w:val="000D361D"/>
    <w:rsid w:val="000D3720"/>
    <w:rsid w:val="000D3AA0"/>
    <w:rsid w:val="000D3CEA"/>
    <w:rsid w:val="000D3F1F"/>
    <w:rsid w:val="000D403C"/>
    <w:rsid w:val="000D4416"/>
    <w:rsid w:val="000D5111"/>
    <w:rsid w:val="000D51B1"/>
    <w:rsid w:val="000D5566"/>
    <w:rsid w:val="000D568B"/>
    <w:rsid w:val="000D56F3"/>
    <w:rsid w:val="000D5A18"/>
    <w:rsid w:val="000D5A54"/>
    <w:rsid w:val="000D5B6B"/>
    <w:rsid w:val="000D5C2B"/>
    <w:rsid w:val="000D5CF7"/>
    <w:rsid w:val="000D6115"/>
    <w:rsid w:val="000D6213"/>
    <w:rsid w:val="000D640E"/>
    <w:rsid w:val="000D6521"/>
    <w:rsid w:val="000D6540"/>
    <w:rsid w:val="000D66CB"/>
    <w:rsid w:val="000D66DA"/>
    <w:rsid w:val="000D674F"/>
    <w:rsid w:val="000D6813"/>
    <w:rsid w:val="000D7153"/>
    <w:rsid w:val="000D720E"/>
    <w:rsid w:val="000D78FF"/>
    <w:rsid w:val="000D7A26"/>
    <w:rsid w:val="000D7B42"/>
    <w:rsid w:val="000D7CEE"/>
    <w:rsid w:val="000E0071"/>
    <w:rsid w:val="000E08A7"/>
    <w:rsid w:val="000E098C"/>
    <w:rsid w:val="000E0F25"/>
    <w:rsid w:val="000E12C8"/>
    <w:rsid w:val="000E134E"/>
    <w:rsid w:val="000E13B2"/>
    <w:rsid w:val="000E16A3"/>
    <w:rsid w:val="000E1730"/>
    <w:rsid w:val="000E1837"/>
    <w:rsid w:val="000E1B26"/>
    <w:rsid w:val="000E1B46"/>
    <w:rsid w:val="000E1C4F"/>
    <w:rsid w:val="000E2BC6"/>
    <w:rsid w:val="000E2E38"/>
    <w:rsid w:val="000E3C0A"/>
    <w:rsid w:val="000E4339"/>
    <w:rsid w:val="000E4630"/>
    <w:rsid w:val="000E468A"/>
    <w:rsid w:val="000E488A"/>
    <w:rsid w:val="000E4903"/>
    <w:rsid w:val="000E4BC1"/>
    <w:rsid w:val="000E4FE2"/>
    <w:rsid w:val="000E507B"/>
    <w:rsid w:val="000E54B5"/>
    <w:rsid w:val="000E5638"/>
    <w:rsid w:val="000E5BEE"/>
    <w:rsid w:val="000E6095"/>
    <w:rsid w:val="000E6466"/>
    <w:rsid w:val="000E6F61"/>
    <w:rsid w:val="000E70B0"/>
    <w:rsid w:val="000E7359"/>
    <w:rsid w:val="000E7440"/>
    <w:rsid w:val="000E757E"/>
    <w:rsid w:val="000E7654"/>
    <w:rsid w:val="000E7F21"/>
    <w:rsid w:val="000F02F9"/>
    <w:rsid w:val="000F036B"/>
    <w:rsid w:val="000F1646"/>
    <w:rsid w:val="000F165A"/>
    <w:rsid w:val="000F1671"/>
    <w:rsid w:val="000F2E24"/>
    <w:rsid w:val="000F2FAA"/>
    <w:rsid w:val="000F3694"/>
    <w:rsid w:val="000F414E"/>
    <w:rsid w:val="000F4462"/>
    <w:rsid w:val="000F477A"/>
    <w:rsid w:val="000F4B08"/>
    <w:rsid w:val="000F5389"/>
    <w:rsid w:val="000F573C"/>
    <w:rsid w:val="000F620D"/>
    <w:rsid w:val="000F6402"/>
    <w:rsid w:val="000F6903"/>
    <w:rsid w:val="000F6A27"/>
    <w:rsid w:val="000F6F1E"/>
    <w:rsid w:val="000F7C17"/>
    <w:rsid w:val="000F7C95"/>
    <w:rsid w:val="000F7F5E"/>
    <w:rsid w:val="000F7FE2"/>
    <w:rsid w:val="00100770"/>
    <w:rsid w:val="00100774"/>
    <w:rsid w:val="001007FA"/>
    <w:rsid w:val="001008D1"/>
    <w:rsid w:val="00100932"/>
    <w:rsid w:val="00100AF0"/>
    <w:rsid w:val="00101551"/>
    <w:rsid w:val="00101808"/>
    <w:rsid w:val="00101AD8"/>
    <w:rsid w:val="0010208C"/>
    <w:rsid w:val="001020A7"/>
    <w:rsid w:val="00102192"/>
    <w:rsid w:val="001023A4"/>
    <w:rsid w:val="0010271C"/>
    <w:rsid w:val="00102888"/>
    <w:rsid w:val="00102B84"/>
    <w:rsid w:val="00102D25"/>
    <w:rsid w:val="001032A5"/>
    <w:rsid w:val="001033F8"/>
    <w:rsid w:val="0010341C"/>
    <w:rsid w:val="001035D2"/>
    <w:rsid w:val="00103602"/>
    <w:rsid w:val="00103721"/>
    <w:rsid w:val="001038D5"/>
    <w:rsid w:val="00103DA3"/>
    <w:rsid w:val="00103ED0"/>
    <w:rsid w:val="00104331"/>
    <w:rsid w:val="001045B2"/>
    <w:rsid w:val="001048C6"/>
    <w:rsid w:val="00104930"/>
    <w:rsid w:val="00104FA3"/>
    <w:rsid w:val="00105130"/>
    <w:rsid w:val="0010533B"/>
    <w:rsid w:val="0010584E"/>
    <w:rsid w:val="00105883"/>
    <w:rsid w:val="00105A93"/>
    <w:rsid w:val="00105BC2"/>
    <w:rsid w:val="00105CAC"/>
    <w:rsid w:val="00105DC2"/>
    <w:rsid w:val="00105EEF"/>
    <w:rsid w:val="00105F64"/>
    <w:rsid w:val="00105FEC"/>
    <w:rsid w:val="001063B3"/>
    <w:rsid w:val="00106873"/>
    <w:rsid w:val="00106A29"/>
    <w:rsid w:val="00106A62"/>
    <w:rsid w:val="00106A64"/>
    <w:rsid w:val="00106AA6"/>
    <w:rsid w:val="00106BD4"/>
    <w:rsid w:val="00106C4F"/>
    <w:rsid w:val="00106C82"/>
    <w:rsid w:val="00106D7D"/>
    <w:rsid w:val="001071E8"/>
    <w:rsid w:val="0011017E"/>
    <w:rsid w:val="00110217"/>
    <w:rsid w:val="00110765"/>
    <w:rsid w:val="001107E6"/>
    <w:rsid w:val="00110E7C"/>
    <w:rsid w:val="00111318"/>
    <w:rsid w:val="001114C8"/>
    <w:rsid w:val="00111DBB"/>
    <w:rsid w:val="00111F03"/>
    <w:rsid w:val="00111F1A"/>
    <w:rsid w:val="00112034"/>
    <w:rsid w:val="001127D3"/>
    <w:rsid w:val="00112D66"/>
    <w:rsid w:val="00112DB5"/>
    <w:rsid w:val="001135F7"/>
    <w:rsid w:val="001137BE"/>
    <w:rsid w:val="00114688"/>
    <w:rsid w:val="00114A71"/>
    <w:rsid w:val="00114E98"/>
    <w:rsid w:val="00114FE4"/>
    <w:rsid w:val="00115034"/>
    <w:rsid w:val="001151C3"/>
    <w:rsid w:val="001152D9"/>
    <w:rsid w:val="00115382"/>
    <w:rsid w:val="00115930"/>
    <w:rsid w:val="00115996"/>
    <w:rsid w:val="00115A8A"/>
    <w:rsid w:val="00115AE1"/>
    <w:rsid w:val="00115DF2"/>
    <w:rsid w:val="001162C3"/>
    <w:rsid w:val="001163E1"/>
    <w:rsid w:val="001164F3"/>
    <w:rsid w:val="0011660A"/>
    <w:rsid w:val="001166D4"/>
    <w:rsid w:val="001169DD"/>
    <w:rsid w:val="00116BBD"/>
    <w:rsid w:val="00116C38"/>
    <w:rsid w:val="00116D78"/>
    <w:rsid w:val="001171E8"/>
    <w:rsid w:val="00117375"/>
    <w:rsid w:val="0011737D"/>
    <w:rsid w:val="0011795D"/>
    <w:rsid w:val="00117AC1"/>
    <w:rsid w:val="00117BCD"/>
    <w:rsid w:val="00117CBA"/>
    <w:rsid w:val="00117F49"/>
    <w:rsid w:val="001204F9"/>
    <w:rsid w:val="00120663"/>
    <w:rsid w:val="00120735"/>
    <w:rsid w:val="00120798"/>
    <w:rsid w:val="0012095C"/>
    <w:rsid w:val="00120991"/>
    <w:rsid w:val="00120B95"/>
    <w:rsid w:val="00120C0C"/>
    <w:rsid w:val="00120C8D"/>
    <w:rsid w:val="00120FC1"/>
    <w:rsid w:val="00121105"/>
    <w:rsid w:val="0012149D"/>
    <w:rsid w:val="001214F6"/>
    <w:rsid w:val="001215D9"/>
    <w:rsid w:val="001217EC"/>
    <w:rsid w:val="001218C4"/>
    <w:rsid w:val="001218E4"/>
    <w:rsid w:val="0012278E"/>
    <w:rsid w:val="00122A32"/>
    <w:rsid w:val="00122CFF"/>
    <w:rsid w:val="00122EC9"/>
    <w:rsid w:val="00123144"/>
    <w:rsid w:val="001232C8"/>
    <w:rsid w:val="00123391"/>
    <w:rsid w:val="001236AB"/>
    <w:rsid w:val="001238F9"/>
    <w:rsid w:val="00123DA4"/>
    <w:rsid w:val="00123F5D"/>
    <w:rsid w:val="001244A6"/>
    <w:rsid w:val="001249C8"/>
    <w:rsid w:val="00124AB2"/>
    <w:rsid w:val="00124EE7"/>
    <w:rsid w:val="00125051"/>
    <w:rsid w:val="00125083"/>
    <w:rsid w:val="001252F2"/>
    <w:rsid w:val="0012530D"/>
    <w:rsid w:val="001253B2"/>
    <w:rsid w:val="0012548F"/>
    <w:rsid w:val="001255E1"/>
    <w:rsid w:val="0012563E"/>
    <w:rsid w:val="00125931"/>
    <w:rsid w:val="00125C50"/>
    <w:rsid w:val="00125E15"/>
    <w:rsid w:val="00126004"/>
    <w:rsid w:val="00126094"/>
    <w:rsid w:val="001263FD"/>
    <w:rsid w:val="00126799"/>
    <w:rsid w:val="00126A5B"/>
    <w:rsid w:val="00127027"/>
    <w:rsid w:val="00127805"/>
    <w:rsid w:val="00127920"/>
    <w:rsid w:val="001279D7"/>
    <w:rsid w:val="00127D4F"/>
    <w:rsid w:val="00130265"/>
    <w:rsid w:val="0013058E"/>
    <w:rsid w:val="00130A42"/>
    <w:rsid w:val="00130E41"/>
    <w:rsid w:val="00131277"/>
    <w:rsid w:val="00131418"/>
    <w:rsid w:val="001316C7"/>
    <w:rsid w:val="00131C18"/>
    <w:rsid w:val="00131C5D"/>
    <w:rsid w:val="00131E4A"/>
    <w:rsid w:val="00132359"/>
    <w:rsid w:val="00132680"/>
    <w:rsid w:val="00132695"/>
    <w:rsid w:val="00132C9C"/>
    <w:rsid w:val="00132CDC"/>
    <w:rsid w:val="00132E4D"/>
    <w:rsid w:val="00132EED"/>
    <w:rsid w:val="00132FF3"/>
    <w:rsid w:val="00133181"/>
    <w:rsid w:val="001332C9"/>
    <w:rsid w:val="0013344C"/>
    <w:rsid w:val="00133709"/>
    <w:rsid w:val="00133EA5"/>
    <w:rsid w:val="001345E3"/>
    <w:rsid w:val="00134E73"/>
    <w:rsid w:val="00134FF2"/>
    <w:rsid w:val="0013517F"/>
    <w:rsid w:val="001352A2"/>
    <w:rsid w:val="00135389"/>
    <w:rsid w:val="00135487"/>
    <w:rsid w:val="0013560C"/>
    <w:rsid w:val="001359A5"/>
    <w:rsid w:val="00135CEA"/>
    <w:rsid w:val="001361BF"/>
    <w:rsid w:val="001368BA"/>
    <w:rsid w:val="00136924"/>
    <w:rsid w:val="001370C9"/>
    <w:rsid w:val="00137112"/>
    <w:rsid w:val="00137803"/>
    <w:rsid w:val="0013784B"/>
    <w:rsid w:val="0013785F"/>
    <w:rsid w:val="001402DB"/>
    <w:rsid w:val="00140820"/>
    <w:rsid w:val="00140891"/>
    <w:rsid w:val="00141040"/>
    <w:rsid w:val="0014124E"/>
    <w:rsid w:val="001417F5"/>
    <w:rsid w:val="00141966"/>
    <w:rsid w:val="001419BC"/>
    <w:rsid w:val="00141BE2"/>
    <w:rsid w:val="00142345"/>
    <w:rsid w:val="001423E9"/>
    <w:rsid w:val="001424E1"/>
    <w:rsid w:val="001425A9"/>
    <w:rsid w:val="0014350D"/>
    <w:rsid w:val="00143680"/>
    <w:rsid w:val="00143C43"/>
    <w:rsid w:val="00143F31"/>
    <w:rsid w:val="001443D6"/>
    <w:rsid w:val="00144507"/>
    <w:rsid w:val="00144863"/>
    <w:rsid w:val="0014488E"/>
    <w:rsid w:val="00144898"/>
    <w:rsid w:val="00144A9F"/>
    <w:rsid w:val="001451D5"/>
    <w:rsid w:val="0014538A"/>
    <w:rsid w:val="00145880"/>
    <w:rsid w:val="0014592D"/>
    <w:rsid w:val="00146861"/>
    <w:rsid w:val="001469BA"/>
    <w:rsid w:val="00146C02"/>
    <w:rsid w:val="00146CA7"/>
    <w:rsid w:val="00147147"/>
    <w:rsid w:val="00147243"/>
    <w:rsid w:val="0014756A"/>
    <w:rsid w:val="00147897"/>
    <w:rsid w:val="00147A81"/>
    <w:rsid w:val="00147B3B"/>
    <w:rsid w:val="00147DAF"/>
    <w:rsid w:val="001507D6"/>
    <w:rsid w:val="001508E8"/>
    <w:rsid w:val="00150939"/>
    <w:rsid w:val="00150AD5"/>
    <w:rsid w:val="00150BF5"/>
    <w:rsid w:val="00150EB9"/>
    <w:rsid w:val="00151023"/>
    <w:rsid w:val="00151191"/>
    <w:rsid w:val="0015160E"/>
    <w:rsid w:val="001519A7"/>
    <w:rsid w:val="00151C2B"/>
    <w:rsid w:val="00151E22"/>
    <w:rsid w:val="00151FF2"/>
    <w:rsid w:val="001520B9"/>
    <w:rsid w:val="00152192"/>
    <w:rsid w:val="001524AD"/>
    <w:rsid w:val="001524BF"/>
    <w:rsid w:val="00152DA3"/>
    <w:rsid w:val="0015319E"/>
    <w:rsid w:val="0015398A"/>
    <w:rsid w:val="00153D48"/>
    <w:rsid w:val="00153E12"/>
    <w:rsid w:val="00154646"/>
    <w:rsid w:val="001548C8"/>
    <w:rsid w:val="00154A51"/>
    <w:rsid w:val="001551B6"/>
    <w:rsid w:val="00155437"/>
    <w:rsid w:val="0015567F"/>
    <w:rsid w:val="00155C35"/>
    <w:rsid w:val="00155EB4"/>
    <w:rsid w:val="001568ED"/>
    <w:rsid w:val="0015691C"/>
    <w:rsid w:val="00156A41"/>
    <w:rsid w:val="00156D04"/>
    <w:rsid w:val="00156F93"/>
    <w:rsid w:val="0015769E"/>
    <w:rsid w:val="0015789D"/>
    <w:rsid w:val="00157E18"/>
    <w:rsid w:val="00157F59"/>
    <w:rsid w:val="0016007D"/>
    <w:rsid w:val="00160121"/>
    <w:rsid w:val="001605CC"/>
    <w:rsid w:val="001606C4"/>
    <w:rsid w:val="00160A3C"/>
    <w:rsid w:val="00160B2F"/>
    <w:rsid w:val="00160CAE"/>
    <w:rsid w:val="00161746"/>
    <w:rsid w:val="001617AB"/>
    <w:rsid w:val="00161AAF"/>
    <w:rsid w:val="00161D78"/>
    <w:rsid w:val="00161E02"/>
    <w:rsid w:val="00161E21"/>
    <w:rsid w:val="0016248E"/>
    <w:rsid w:val="0016250B"/>
    <w:rsid w:val="001629CB"/>
    <w:rsid w:val="00162B1B"/>
    <w:rsid w:val="00162E3B"/>
    <w:rsid w:val="00163010"/>
    <w:rsid w:val="001633A1"/>
    <w:rsid w:val="00163801"/>
    <w:rsid w:val="00163CB2"/>
    <w:rsid w:val="00163CD1"/>
    <w:rsid w:val="00163FFE"/>
    <w:rsid w:val="00164150"/>
    <w:rsid w:val="001641BC"/>
    <w:rsid w:val="001648C8"/>
    <w:rsid w:val="00164CD8"/>
    <w:rsid w:val="00165050"/>
    <w:rsid w:val="0016516C"/>
    <w:rsid w:val="00165636"/>
    <w:rsid w:val="0016564C"/>
    <w:rsid w:val="0016576A"/>
    <w:rsid w:val="001659EF"/>
    <w:rsid w:val="00165C65"/>
    <w:rsid w:val="00165F98"/>
    <w:rsid w:val="00165FDF"/>
    <w:rsid w:val="0016671F"/>
    <w:rsid w:val="00166722"/>
    <w:rsid w:val="00166969"/>
    <w:rsid w:val="00166ACC"/>
    <w:rsid w:val="00166AEE"/>
    <w:rsid w:val="00166F76"/>
    <w:rsid w:val="00167208"/>
    <w:rsid w:val="00167310"/>
    <w:rsid w:val="00167A51"/>
    <w:rsid w:val="00170020"/>
    <w:rsid w:val="0017023C"/>
    <w:rsid w:val="001703A7"/>
    <w:rsid w:val="001704E8"/>
    <w:rsid w:val="0017056A"/>
    <w:rsid w:val="00170923"/>
    <w:rsid w:val="001709AA"/>
    <w:rsid w:val="001709F0"/>
    <w:rsid w:val="00170F0C"/>
    <w:rsid w:val="0017105B"/>
    <w:rsid w:val="001713F1"/>
    <w:rsid w:val="001715A6"/>
    <w:rsid w:val="00171714"/>
    <w:rsid w:val="00171795"/>
    <w:rsid w:val="0017181F"/>
    <w:rsid w:val="00171E37"/>
    <w:rsid w:val="001722E0"/>
    <w:rsid w:val="00172611"/>
    <w:rsid w:val="001728BF"/>
    <w:rsid w:val="001735EB"/>
    <w:rsid w:val="00174482"/>
    <w:rsid w:val="001744B3"/>
    <w:rsid w:val="001745F8"/>
    <w:rsid w:val="001748DC"/>
    <w:rsid w:val="00174A54"/>
    <w:rsid w:val="00174A61"/>
    <w:rsid w:val="00174C74"/>
    <w:rsid w:val="00174CB2"/>
    <w:rsid w:val="00174DA7"/>
    <w:rsid w:val="00174DB9"/>
    <w:rsid w:val="001750F4"/>
    <w:rsid w:val="0017565D"/>
    <w:rsid w:val="00175F8E"/>
    <w:rsid w:val="00176370"/>
    <w:rsid w:val="001763C5"/>
    <w:rsid w:val="0017649E"/>
    <w:rsid w:val="0017668A"/>
    <w:rsid w:val="00176D80"/>
    <w:rsid w:val="00177627"/>
    <w:rsid w:val="00177852"/>
    <w:rsid w:val="0017788C"/>
    <w:rsid w:val="00177976"/>
    <w:rsid w:val="00177B5A"/>
    <w:rsid w:val="00177D9C"/>
    <w:rsid w:val="00180754"/>
    <w:rsid w:val="001808E3"/>
    <w:rsid w:val="00180DBC"/>
    <w:rsid w:val="00180FAA"/>
    <w:rsid w:val="001812CD"/>
    <w:rsid w:val="00181318"/>
    <w:rsid w:val="0018134C"/>
    <w:rsid w:val="00181586"/>
    <w:rsid w:val="00181609"/>
    <w:rsid w:val="00181771"/>
    <w:rsid w:val="00181877"/>
    <w:rsid w:val="00181C77"/>
    <w:rsid w:val="00181DF7"/>
    <w:rsid w:val="00181E27"/>
    <w:rsid w:val="001827DB"/>
    <w:rsid w:val="00182DB6"/>
    <w:rsid w:val="00182EC3"/>
    <w:rsid w:val="00183012"/>
    <w:rsid w:val="00183643"/>
    <w:rsid w:val="00183CBC"/>
    <w:rsid w:val="00184047"/>
    <w:rsid w:val="0018466D"/>
    <w:rsid w:val="00185607"/>
    <w:rsid w:val="00185BA4"/>
    <w:rsid w:val="00185DBD"/>
    <w:rsid w:val="0018623B"/>
    <w:rsid w:val="00186814"/>
    <w:rsid w:val="00186E9B"/>
    <w:rsid w:val="00186EE9"/>
    <w:rsid w:val="001871D0"/>
    <w:rsid w:val="00187646"/>
    <w:rsid w:val="001876E2"/>
    <w:rsid w:val="00187C98"/>
    <w:rsid w:val="00190011"/>
    <w:rsid w:val="0019001D"/>
    <w:rsid w:val="0019007A"/>
    <w:rsid w:val="0019028F"/>
    <w:rsid w:val="00190817"/>
    <w:rsid w:val="0019093E"/>
    <w:rsid w:val="00190A62"/>
    <w:rsid w:val="00190E96"/>
    <w:rsid w:val="0019100A"/>
    <w:rsid w:val="00191268"/>
    <w:rsid w:val="001912B3"/>
    <w:rsid w:val="0019133D"/>
    <w:rsid w:val="00191503"/>
    <w:rsid w:val="0019157D"/>
    <w:rsid w:val="00191D83"/>
    <w:rsid w:val="00191E02"/>
    <w:rsid w:val="00192176"/>
    <w:rsid w:val="0019220E"/>
    <w:rsid w:val="00192BCE"/>
    <w:rsid w:val="00192D0B"/>
    <w:rsid w:val="00192D55"/>
    <w:rsid w:val="00192D65"/>
    <w:rsid w:val="001936BA"/>
    <w:rsid w:val="00193765"/>
    <w:rsid w:val="0019379F"/>
    <w:rsid w:val="0019397B"/>
    <w:rsid w:val="001946B4"/>
    <w:rsid w:val="0019485F"/>
    <w:rsid w:val="0019489A"/>
    <w:rsid w:val="0019492A"/>
    <w:rsid w:val="00194FA5"/>
    <w:rsid w:val="00195171"/>
    <w:rsid w:val="001954E5"/>
    <w:rsid w:val="001956C7"/>
    <w:rsid w:val="00195812"/>
    <w:rsid w:val="001959FA"/>
    <w:rsid w:val="00195B69"/>
    <w:rsid w:val="00195CEC"/>
    <w:rsid w:val="0019671E"/>
    <w:rsid w:val="00196951"/>
    <w:rsid w:val="00196E0C"/>
    <w:rsid w:val="0019709A"/>
    <w:rsid w:val="00197305"/>
    <w:rsid w:val="00197323"/>
    <w:rsid w:val="001973FB"/>
    <w:rsid w:val="001976D7"/>
    <w:rsid w:val="001977EF"/>
    <w:rsid w:val="001979DF"/>
    <w:rsid w:val="00197BD8"/>
    <w:rsid w:val="001A0127"/>
    <w:rsid w:val="001A013B"/>
    <w:rsid w:val="001A0146"/>
    <w:rsid w:val="001A0334"/>
    <w:rsid w:val="001A05AF"/>
    <w:rsid w:val="001A0719"/>
    <w:rsid w:val="001A0A52"/>
    <w:rsid w:val="001A0BFB"/>
    <w:rsid w:val="001A196B"/>
    <w:rsid w:val="001A1E31"/>
    <w:rsid w:val="001A2100"/>
    <w:rsid w:val="001A2334"/>
    <w:rsid w:val="001A25B0"/>
    <w:rsid w:val="001A25B8"/>
    <w:rsid w:val="001A2BD8"/>
    <w:rsid w:val="001A3197"/>
    <w:rsid w:val="001A3425"/>
    <w:rsid w:val="001A38C9"/>
    <w:rsid w:val="001A38D3"/>
    <w:rsid w:val="001A39AF"/>
    <w:rsid w:val="001A3A26"/>
    <w:rsid w:val="001A3B20"/>
    <w:rsid w:val="001A3CF5"/>
    <w:rsid w:val="001A3D6E"/>
    <w:rsid w:val="001A4414"/>
    <w:rsid w:val="001A46D2"/>
    <w:rsid w:val="001A47D7"/>
    <w:rsid w:val="001A4976"/>
    <w:rsid w:val="001A4A7D"/>
    <w:rsid w:val="001A4BB6"/>
    <w:rsid w:val="001A4D24"/>
    <w:rsid w:val="001A5725"/>
    <w:rsid w:val="001A5D50"/>
    <w:rsid w:val="001A61BC"/>
    <w:rsid w:val="001A63BD"/>
    <w:rsid w:val="001A7401"/>
    <w:rsid w:val="001A7790"/>
    <w:rsid w:val="001A7C48"/>
    <w:rsid w:val="001A7FBD"/>
    <w:rsid w:val="001A7FF8"/>
    <w:rsid w:val="001B0418"/>
    <w:rsid w:val="001B061A"/>
    <w:rsid w:val="001B0953"/>
    <w:rsid w:val="001B0980"/>
    <w:rsid w:val="001B0CA6"/>
    <w:rsid w:val="001B1162"/>
    <w:rsid w:val="001B168B"/>
    <w:rsid w:val="001B1B09"/>
    <w:rsid w:val="001B1FF6"/>
    <w:rsid w:val="001B2025"/>
    <w:rsid w:val="001B242C"/>
    <w:rsid w:val="001B2752"/>
    <w:rsid w:val="001B2A0D"/>
    <w:rsid w:val="001B2C04"/>
    <w:rsid w:val="001B2C62"/>
    <w:rsid w:val="001B2F2C"/>
    <w:rsid w:val="001B3174"/>
    <w:rsid w:val="001B31BE"/>
    <w:rsid w:val="001B32A8"/>
    <w:rsid w:val="001B3334"/>
    <w:rsid w:val="001B343D"/>
    <w:rsid w:val="001B3882"/>
    <w:rsid w:val="001B39C5"/>
    <w:rsid w:val="001B4414"/>
    <w:rsid w:val="001B46C1"/>
    <w:rsid w:val="001B4889"/>
    <w:rsid w:val="001B48FB"/>
    <w:rsid w:val="001B502E"/>
    <w:rsid w:val="001B50AE"/>
    <w:rsid w:val="001B5173"/>
    <w:rsid w:val="001B51F0"/>
    <w:rsid w:val="001B52DF"/>
    <w:rsid w:val="001B5352"/>
    <w:rsid w:val="001B55CE"/>
    <w:rsid w:val="001B568B"/>
    <w:rsid w:val="001B58A8"/>
    <w:rsid w:val="001B64E7"/>
    <w:rsid w:val="001B6636"/>
    <w:rsid w:val="001B66E7"/>
    <w:rsid w:val="001B6945"/>
    <w:rsid w:val="001B6B68"/>
    <w:rsid w:val="001B6DBC"/>
    <w:rsid w:val="001B6F3B"/>
    <w:rsid w:val="001B7017"/>
    <w:rsid w:val="001B7195"/>
    <w:rsid w:val="001B72F3"/>
    <w:rsid w:val="001B7640"/>
    <w:rsid w:val="001B77CE"/>
    <w:rsid w:val="001B7997"/>
    <w:rsid w:val="001B7CE0"/>
    <w:rsid w:val="001C0097"/>
    <w:rsid w:val="001C0148"/>
    <w:rsid w:val="001C025D"/>
    <w:rsid w:val="001C0481"/>
    <w:rsid w:val="001C04D3"/>
    <w:rsid w:val="001C0768"/>
    <w:rsid w:val="001C0941"/>
    <w:rsid w:val="001C107B"/>
    <w:rsid w:val="001C11FA"/>
    <w:rsid w:val="001C138E"/>
    <w:rsid w:val="001C1449"/>
    <w:rsid w:val="001C147D"/>
    <w:rsid w:val="001C1707"/>
    <w:rsid w:val="001C1805"/>
    <w:rsid w:val="001C1841"/>
    <w:rsid w:val="001C215D"/>
    <w:rsid w:val="001C258F"/>
    <w:rsid w:val="001C2785"/>
    <w:rsid w:val="001C2A8C"/>
    <w:rsid w:val="001C3599"/>
    <w:rsid w:val="001C3C61"/>
    <w:rsid w:val="001C4070"/>
    <w:rsid w:val="001C40E1"/>
    <w:rsid w:val="001C4665"/>
    <w:rsid w:val="001C4884"/>
    <w:rsid w:val="001C4C98"/>
    <w:rsid w:val="001C4F6B"/>
    <w:rsid w:val="001C50AF"/>
    <w:rsid w:val="001C55B0"/>
    <w:rsid w:val="001C5688"/>
    <w:rsid w:val="001C5770"/>
    <w:rsid w:val="001C57B5"/>
    <w:rsid w:val="001C5E43"/>
    <w:rsid w:val="001C605E"/>
    <w:rsid w:val="001C6220"/>
    <w:rsid w:val="001C6771"/>
    <w:rsid w:val="001C6799"/>
    <w:rsid w:val="001C68C5"/>
    <w:rsid w:val="001C6A59"/>
    <w:rsid w:val="001C6AB6"/>
    <w:rsid w:val="001C7013"/>
    <w:rsid w:val="001C716C"/>
    <w:rsid w:val="001C7522"/>
    <w:rsid w:val="001C795C"/>
    <w:rsid w:val="001C7D42"/>
    <w:rsid w:val="001C7E14"/>
    <w:rsid w:val="001D0189"/>
    <w:rsid w:val="001D04ED"/>
    <w:rsid w:val="001D065C"/>
    <w:rsid w:val="001D0824"/>
    <w:rsid w:val="001D0966"/>
    <w:rsid w:val="001D0B62"/>
    <w:rsid w:val="001D0DB5"/>
    <w:rsid w:val="001D0E71"/>
    <w:rsid w:val="001D1153"/>
    <w:rsid w:val="001D1655"/>
    <w:rsid w:val="001D17BB"/>
    <w:rsid w:val="001D1D32"/>
    <w:rsid w:val="001D22FB"/>
    <w:rsid w:val="001D2389"/>
    <w:rsid w:val="001D29F2"/>
    <w:rsid w:val="001D2C07"/>
    <w:rsid w:val="001D2F98"/>
    <w:rsid w:val="001D3089"/>
    <w:rsid w:val="001D32A9"/>
    <w:rsid w:val="001D37A8"/>
    <w:rsid w:val="001D37B2"/>
    <w:rsid w:val="001D3CA9"/>
    <w:rsid w:val="001D42DC"/>
    <w:rsid w:val="001D4AFC"/>
    <w:rsid w:val="001D4DFF"/>
    <w:rsid w:val="001D4F03"/>
    <w:rsid w:val="001D4F4D"/>
    <w:rsid w:val="001D586C"/>
    <w:rsid w:val="001D5AB5"/>
    <w:rsid w:val="001D5DFB"/>
    <w:rsid w:val="001D5E51"/>
    <w:rsid w:val="001D617B"/>
    <w:rsid w:val="001D6262"/>
    <w:rsid w:val="001D62A9"/>
    <w:rsid w:val="001D62B7"/>
    <w:rsid w:val="001D67D3"/>
    <w:rsid w:val="001D69BD"/>
    <w:rsid w:val="001D6A45"/>
    <w:rsid w:val="001D707E"/>
    <w:rsid w:val="001D71E3"/>
    <w:rsid w:val="001D752C"/>
    <w:rsid w:val="001D7574"/>
    <w:rsid w:val="001D7886"/>
    <w:rsid w:val="001D794C"/>
    <w:rsid w:val="001D7ACD"/>
    <w:rsid w:val="001E0156"/>
    <w:rsid w:val="001E0D0E"/>
    <w:rsid w:val="001E1552"/>
    <w:rsid w:val="001E1635"/>
    <w:rsid w:val="001E1BCA"/>
    <w:rsid w:val="001E2BA3"/>
    <w:rsid w:val="001E31EF"/>
    <w:rsid w:val="001E3547"/>
    <w:rsid w:val="001E3861"/>
    <w:rsid w:val="001E43BA"/>
    <w:rsid w:val="001E4D33"/>
    <w:rsid w:val="001E4D3E"/>
    <w:rsid w:val="001E4FA3"/>
    <w:rsid w:val="001E5238"/>
    <w:rsid w:val="001E52B6"/>
    <w:rsid w:val="001E575C"/>
    <w:rsid w:val="001E57CC"/>
    <w:rsid w:val="001E5889"/>
    <w:rsid w:val="001E5994"/>
    <w:rsid w:val="001E5F36"/>
    <w:rsid w:val="001E5FAB"/>
    <w:rsid w:val="001E61EB"/>
    <w:rsid w:val="001E67ED"/>
    <w:rsid w:val="001E688A"/>
    <w:rsid w:val="001E6926"/>
    <w:rsid w:val="001E69DD"/>
    <w:rsid w:val="001E6A89"/>
    <w:rsid w:val="001E6A91"/>
    <w:rsid w:val="001E6F99"/>
    <w:rsid w:val="001E70DF"/>
    <w:rsid w:val="001E722F"/>
    <w:rsid w:val="001E7858"/>
    <w:rsid w:val="001E79CE"/>
    <w:rsid w:val="001E7B56"/>
    <w:rsid w:val="001E7F35"/>
    <w:rsid w:val="001F055A"/>
    <w:rsid w:val="001F0EE6"/>
    <w:rsid w:val="001F0F17"/>
    <w:rsid w:val="001F1211"/>
    <w:rsid w:val="001F1607"/>
    <w:rsid w:val="001F1757"/>
    <w:rsid w:val="001F1E62"/>
    <w:rsid w:val="001F2617"/>
    <w:rsid w:val="001F26B1"/>
    <w:rsid w:val="001F29EC"/>
    <w:rsid w:val="001F2C31"/>
    <w:rsid w:val="001F2C54"/>
    <w:rsid w:val="001F3025"/>
    <w:rsid w:val="001F3430"/>
    <w:rsid w:val="001F35DD"/>
    <w:rsid w:val="001F37FB"/>
    <w:rsid w:val="001F4509"/>
    <w:rsid w:val="001F4DB6"/>
    <w:rsid w:val="001F4F14"/>
    <w:rsid w:val="001F569C"/>
    <w:rsid w:val="001F56DC"/>
    <w:rsid w:val="001F5764"/>
    <w:rsid w:val="001F5777"/>
    <w:rsid w:val="001F5AA7"/>
    <w:rsid w:val="001F5D37"/>
    <w:rsid w:val="001F5DD0"/>
    <w:rsid w:val="001F5DD5"/>
    <w:rsid w:val="001F5E51"/>
    <w:rsid w:val="001F5F40"/>
    <w:rsid w:val="001F6021"/>
    <w:rsid w:val="001F66BF"/>
    <w:rsid w:val="001F6B06"/>
    <w:rsid w:val="001F70F0"/>
    <w:rsid w:val="001F7193"/>
    <w:rsid w:val="001F72CD"/>
    <w:rsid w:val="001F7563"/>
    <w:rsid w:val="001F7762"/>
    <w:rsid w:val="001F777E"/>
    <w:rsid w:val="001F798D"/>
    <w:rsid w:val="001F7CBE"/>
    <w:rsid w:val="00200574"/>
    <w:rsid w:val="00200676"/>
    <w:rsid w:val="00200753"/>
    <w:rsid w:val="00200AF6"/>
    <w:rsid w:val="00200B71"/>
    <w:rsid w:val="00200C1E"/>
    <w:rsid w:val="00200FB0"/>
    <w:rsid w:val="002011CF"/>
    <w:rsid w:val="00201979"/>
    <w:rsid w:val="00201A67"/>
    <w:rsid w:val="00201F17"/>
    <w:rsid w:val="00201F7A"/>
    <w:rsid w:val="002021DF"/>
    <w:rsid w:val="0020220B"/>
    <w:rsid w:val="0020233E"/>
    <w:rsid w:val="0020240C"/>
    <w:rsid w:val="00202446"/>
    <w:rsid w:val="002024A2"/>
    <w:rsid w:val="00202505"/>
    <w:rsid w:val="00202A9F"/>
    <w:rsid w:val="00202C03"/>
    <w:rsid w:val="00202EE1"/>
    <w:rsid w:val="00202EF5"/>
    <w:rsid w:val="00202F41"/>
    <w:rsid w:val="00203154"/>
    <w:rsid w:val="00203197"/>
    <w:rsid w:val="002033B8"/>
    <w:rsid w:val="00203731"/>
    <w:rsid w:val="00203E7B"/>
    <w:rsid w:val="00204785"/>
    <w:rsid w:val="002048D0"/>
    <w:rsid w:val="0020490F"/>
    <w:rsid w:val="00204ACD"/>
    <w:rsid w:val="00204C17"/>
    <w:rsid w:val="00204D6D"/>
    <w:rsid w:val="002052E1"/>
    <w:rsid w:val="0020553E"/>
    <w:rsid w:val="00205547"/>
    <w:rsid w:val="002057DB"/>
    <w:rsid w:val="00205989"/>
    <w:rsid w:val="002059A9"/>
    <w:rsid w:val="00205BDC"/>
    <w:rsid w:val="00205D0E"/>
    <w:rsid w:val="00205D75"/>
    <w:rsid w:val="0020603B"/>
    <w:rsid w:val="0020610E"/>
    <w:rsid w:val="00206B60"/>
    <w:rsid w:val="0020703A"/>
    <w:rsid w:val="00207098"/>
    <w:rsid w:val="002070A3"/>
    <w:rsid w:val="002070D0"/>
    <w:rsid w:val="00207549"/>
    <w:rsid w:val="00207935"/>
    <w:rsid w:val="00207956"/>
    <w:rsid w:val="002079D8"/>
    <w:rsid w:val="002102D8"/>
    <w:rsid w:val="002104A4"/>
    <w:rsid w:val="0021086C"/>
    <w:rsid w:val="00210ACA"/>
    <w:rsid w:val="00210EDE"/>
    <w:rsid w:val="002111EE"/>
    <w:rsid w:val="00211473"/>
    <w:rsid w:val="002115D9"/>
    <w:rsid w:val="00211A9D"/>
    <w:rsid w:val="00211B8E"/>
    <w:rsid w:val="0021227C"/>
    <w:rsid w:val="002123D0"/>
    <w:rsid w:val="00212BD8"/>
    <w:rsid w:val="00213032"/>
    <w:rsid w:val="002134EC"/>
    <w:rsid w:val="0021360F"/>
    <w:rsid w:val="00213832"/>
    <w:rsid w:val="00213C37"/>
    <w:rsid w:val="00213C4D"/>
    <w:rsid w:val="00214297"/>
    <w:rsid w:val="00214557"/>
    <w:rsid w:val="00214677"/>
    <w:rsid w:val="00214876"/>
    <w:rsid w:val="00214B14"/>
    <w:rsid w:val="00215044"/>
    <w:rsid w:val="002153BC"/>
    <w:rsid w:val="00215573"/>
    <w:rsid w:val="00215824"/>
    <w:rsid w:val="00215A72"/>
    <w:rsid w:val="00215FB9"/>
    <w:rsid w:val="00216A22"/>
    <w:rsid w:val="00216CB3"/>
    <w:rsid w:val="00216F62"/>
    <w:rsid w:val="00216FA8"/>
    <w:rsid w:val="00217433"/>
    <w:rsid w:val="00217944"/>
    <w:rsid w:val="00218EE5"/>
    <w:rsid w:val="0022004D"/>
    <w:rsid w:val="002203C1"/>
    <w:rsid w:val="00220767"/>
    <w:rsid w:val="002207AA"/>
    <w:rsid w:val="00220873"/>
    <w:rsid w:val="00220C54"/>
    <w:rsid w:val="00220D0D"/>
    <w:rsid w:val="00220D67"/>
    <w:rsid w:val="00220F66"/>
    <w:rsid w:val="00220F70"/>
    <w:rsid w:val="002211CB"/>
    <w:rsid w:val="00221616"/>
    <w:rsid w:val="0022175F"/>
    <w:rsid w:val="00221775"/>
    <w:rsid w:val="0022197A"/>
    <w:rsid w:val="00221E4C"/>
    <w:rsid w:val="00221FD8"/>
    <w:rsid w:val="002221C0"/>
    <w:rsid w:val="002229FD"/>
    <w:rsid w:val="00222D3A"/>
    <w:rsid w:val="00222D57"/>
    <w:rsid w:val="00222E5D"/>
    <w:rsid w:val="00222E9E"/>
    <w:rsid w:val="00223367"/>
    <w:rsid w:val="002234AC"/>
    <w:rsid w:val="00223528"/>
    <w:rsid w:val="002235BA"/>
    <w:rsid w:val="00223703"/>
    <w:rsid w:val="00223A04"/>
    <w:rsid w:val="00223A41"/>
    <w:rsid w:val="00223D9D"/>
    <w:rsid w:val="00223DC2"/>
    <w:rsid w:val="00224330"/>
    <w:rsid w:val="002244E7"/>
    <w:rsid w:val="0022457D"/>
    <w:rsid w:val="0022473E"/>
    <w:rsid w:val="0022490C"/>
    <w:rsid w:val="00224D1E"/>
    <w:rsid w:val="00225053"/>
    <w:rsid w:val="0022511A"/>
    <w:rsid w:val="00225164"/>
    <w:rsid w:val="00225222"/>
    <w:rsid w:val="00225493"/>
    <w:rsid w:val="0022617F"/>
    <w:rsid w:val="00226243"/>
    <w:rsid w:val="0022628B"/>
    <w:rsid w:val="002262B8"/>
    <w:rsid w:val="0022637B"/>
    <w:rsid w:val="00226803"/>
    <w:rsid w:val="00226872"/>
    <w:rsid w:val="002268C9"/>
    <w:rsid w:val="002271B6"/>
    <w:rsid w:val="002274AD"/>
    <w:rsid w:val="0022762E"/>
    <w:rsid w:val="00227632"/>
    <w:rsid w:val="00227C1A"/>
    <w:rsid w:val="00227CAD"/>
    <w:rsid w:val="00227CF5"/>
    <w:rsid w:val="00227D58"/>
    <w:rsid w:val="00230012"/>
    <w:rsid w:val="00230214"/>
    <w:rsid w:val="00230CE7"/>
    <w:rsid w:val="00230E68"/>
    <w:rsid w:val="0023127B"/>
    <w:rsid w:val="002317D5"/>
    <w:rsid w:val="00231ADD"/>
    <w:rsid w:val="002320A2"/>
    <w:rsid w:val="002320D2"/>
    <w:rsid w:val="002329C4"/>
    <w:rsid w:val="00232A4C"/>
    <w:rsid w:val="00232C50"/>
    <w:rsid w:val="00232DD3"/>
    <w:rsid w:val="00232FD9"/>
    <w:rsid w:val="002334C9"/>
    <w:rsid w:val="00233912"/>
    <w:rsid w:val="00233A4F"/>
    <w:rsid w:val="00234142"/>
    <w:rsid w:val="0023427E"/>
    <w:rsid w:val="0023434E"/>
    <w:rsid w:val="002346DB"/>
    <w:rsid w:val="00234970"/>
    <w:rsid w:val="002356F3"/>
    <w:rsid w:val="0023640D"/>
    <w:rsid w:val="00236411"/>
    <w:rsid w:val="002364EC"/>
    <w:rsid w:val="00236813"/>
    <w:rsid w:val="00236B27"/>
    <w:rsid w:val="00236CF9"/>
    <w:rsid w:val="00236E0D"/>
    <w:rsid w:val="00236F05"/>
    <w:rsid w:val="0023716F"/>
    <w:rsid w:val="00237EE0"/>
    <w:rsid w:val="002402AE"/>
    <w:rsid w:val="002402EE"/>
    <w:rsid w:val="002402F5"/>
    <w:rsid w:val="0024043F"/>
    <w:rsid w:val="00240EEE"/>
    <w:rsid w:val="00240F34"/>
    <w:rsid w:val="002411EA"/>
    <w:rsid w:val="002412C4"/>
    <w:rsid w:val="00241810"/>
    <w:rsid w:val="002419F2"/>
    <w:rsid w:val="00241AEA"/>
    <w:rsid w:val="002422B1"/>
    <w:rsid w:val="00242306"/>
    <w:rsid w:val="00242558"/>
    <w:rsid w:val="0024276D"/>
    <w:rsid w:val="00242972"/>
    <w:rsid w:val="00242F99"/>
    <w:rsid w:val="002439CF"/>
    <w:rsid w:val="00243A08"/>
    <w:rsid w:val="00243A40"/>
    <w:rsid w:val="00243B0D"/>
    <w:rsid w:val="00243B3C"/>
    <w:rsid w:val="00244284"/>
    <w:rsid w:val="0024436C"/>
    <w:rsid w:val="0024438B"/>
    <w:rsid w:val="0024438E"/>
    <w:rsid w:val="00244A91"/>
    <w:rsid w:val="002458D8"/>
    <w:rsid w:val="00245934"/>
    <w:rsid w:val="00245B48"/>
    <w:rsid w:val="00245D65"/>
    <w:rsid w:val="00245D7E"/>
    <w:rsid w:val="00246013"/>
    <w:rsid w:val="00246085"/>
    <w:rsid w:val="00246294"/>
    <w:rsid w:val="002467D5"/>
    <w:rsid w:val="00246D80"/>
    <w:rsid w:val="00246D8F"/>
    <w:rsid w:val="00246F8A"/>
    <w:rsid w:val="0024756F"/>
    <w:rsid w:val="00247E1D"/>
    <w:rsid w:val="002500A5"/>
    <w:rsid w:val="002500D9"/>
    <w:rsid w:val="0025026A"/>
    <w:rsid w:val="002503EF"/>
    <w:rsid w:val="00251272"/>
    <w:rsid w:val="002513AC"/>
    <w:rsid w:val="0025184B"/>
    <w:rsid w:val="002518F4"/>
    <w:rsid w:val="00251C1A"/>
    <w:rsid w:val="00251F6C"/>
    <w:rsid w:val="00252181"/>
    <w:rsid w:val="002524F7"/>
    <w:rsid w:val="0025298A"/>
    <w:rsid w:val="00252CEA"/>
    <w:rsid w:val="00252E8E"/>
    <w:rsid w:val="00252EDC"/>
    <w:rsid w:val="002530B6"/>
    <w:rsid w:val="002531D8"/>
    <w:rsid w:val="002535F8"/>
    <w:rsid w:val="00253F4B"/>
    <w:rsid w:val="002540CB"/>
    <w:rsid w:val="002549FB"/>
    <w:rsid w:val="00254CB0"/>
    <w:rsid w:val="00254DB4"/>
    <w:rsid w:val="002557A5"/>
    <w:rsid w:val="002557E3"/>
    <w:rsid w:val="002559DD"/>
    <w:rsid w:val="00255C17"/>
    <w:rsid w:val="00255F42"/>
    <w:rsid w:val="002560C5"/>
    <w:rsid w:val="002566F2"/>
    <w:rsid w:val="002568EC"/>
    <w:rsid w:val="00256AE2"/>
    <w:rsid w:val="00256B05"/>
    <w:rsid w:val="00256D8A"/>
    <w:rsid w:val="0025782C"/>
    <w:rsid w:val="00257892"/>
    <w:rsid w:val="00257A26"/>
    <w:rsid w:val="00257AF9"/>
    <w:rsid w:val="00257D4E"/>
    <w:rsid w:val="00257D6C"/>
    <w:rsid w:val="0026000B"/>
    <w:rsid w:val="00260303"/>
    <w:rsid w:val="0026078F"/>
    <w:rsid w:val="00260910"/>
    <w:rsid w:val="00260CBC"/>
    <w:rsid w:val="00260DF7"/>
    <w:rsid w:val="0026109B"/>
    <w:rsid w:val="0026133C"/>
    <w:rsid w:val="002615B6"/>
    <w:rsid w:val="0026184C"/>
    <w:rsid w:val="00261AF4"/>
    <w:rsid w:val="00261EB6"/>
    <w:rsid w:val="00261EBD"/>
    <w:rsid w:val="002620E6"/>
    <w:rsid w:val="00262375"/>
    <w:rsid w:val="00262437"/>
    <w:rsid w:val="00262D61"/>
    <w:rsid w:val="00263063"/>
    <w:rsid w:val="0026325F"/>
    <w:rsid w:val="0026367C"/>
    <w:rsid w:val="00263CBA"/>
    <w:rsid w:val="00263F90"/>
    <w:rsid w:val="002644C9"/>
    <w:rsid w:val="00264549"/>
    <w:rsid w:val="002649A0"/>
    <w:rsid w:val="00264C44"/>
    <w:rsid w:val="00264D10"/>
    <w:rsid w:val="00264EC2"/>
    <w:rsid w:val="002650A6"/>
    <w:rsid w:val="0026529E"/>
    <w:rsid w:val="0026563E"/>
    <w:rsid w:val="0026574B"/>
    <w:rsid w:val="00265ACE"/>
    <w:rsid w:val="00265BD9"/>
    <w:rsid w:val="00266C2E"/>
    <w:rsid w:val="00267160"/>
    <w:rsid w:val="00267465"/>
    <w:rsid w:val="00267575"/>
    <w:rsid w:val="00267729"/>
    <w:rsid w:val="002677B1"/>
    <w:rsid w:val="00267CA3"/>
    <w:rsid w:val="00267E63"/>
    <w:rsid w:val="00267F10"/>
    <w:rsid w:val="00270098"/>
    <w:rsid w:val="0027015C"/>
    <w:rsid w:val="002702C8"/>
    <w:rsid w:val="00270873"/>
    <w:rsid w:val="00270929"/>
    <w:rsid w:val="00270EBD"/>
    <w:rsid w:val="00270FA2"/>
    <w:rsid w:val="00271113"/>
    <w:rsid w:val="002716B8"/>
    <w:rsid w:val="00271AC4"/>
    <w:rsid w:val="00271C8C"/>
    <w:rsid w:val="00272143"/>
    <w:rsid w:val="002725C8"/>
    <w:rsid w:val="002725EC"/>
    <w:rsid w:val="00272656"/>
    <w:rsid w:val="00273816"/>
    <w:rsid w:val="00273C40"/>
    <w:rsid w:val="00273CEB"/>
    <w:rsid w:val="00273FB8"/>
    <w:rsid w:val="00274648"/>
    <w:rsid w:val="00274997"/>
    <w:rsid w:val="00274D2C"/>
    <w:rsid w:val="00274FAF"/>
    <w:rsid w:val="00275217"/>
    <w:rsid w:val="0027526E"/>
    <w:rsid w:val="0027543B"/>
    <w:rsid w:val="00275579"/>
    <w:rsid w:val="00275707"/>
    <w:rsid w:val="0027580E"/>
    <w:rsid w:val="00275BAA"/>
    <w:rsid w:val="002761CA"/>
    <w:rsid w:val="002762B5"/>
    <w:rsid w:val="00276394"/>
    <w:rsid w:val="00276C15"/>
    <w:rsid w:val="00276D70"/>
    <w:rsid w:val="00277A52"/>
    <w:rsid w:val="00277F9F"/>
    <w:rsid w:val="002804FA"/>
    <w:rsid w:val="00280D62"/>
    <w:rsid w:val="00280DCA"/>
    <w:rsid w:val="00280F1E"/>
    <w:rsid w:val="00280F3D"/>
    <w:rsid w:val="002812C2"/>
    <w:rsid w:val="002815B7"/>
    <w:rsid w:val="00281835"/>
    <w:rsid w:val="00281AE4"/>
    <w:rsid w:val="00281AEE"/>
    <w:rsid w:val="00281C39"/>
    <w:rsid w:val="00282241"/>
    <w:rsid w:val="00282398"/>
    <w:rsid w:val="00282B3D"/>
    <w:rsid w:val="00282C94"/>
    <w:rsid w:val="002833A9"/>
    <w:rsid w:val="00283456"/>
    <w:rsid w:val="002834A4"/>
    <w:rsid w:val="0028377C"/>
    <w:rsid w:val="00283786"/>
    <w:rsid w:val="00283E9A"/>
    <w:rsid w:val="002840E3"/>
    <w:rsid w:val="00284271"/>
    <w:rsid w:val="002842BC"/>
    <w:rsid w:val="0028440E"/>
    <w:rsid w:val="002844F7"/>
    <w:rsid w:val="00284B57"/>
    <w:rsid w:val="00284BE6"/>
    <w:rsid w:val="00285BA1"/>
    <w:rsid w:val="00285C33"/>
    <w:rsid w:val="00285CD8"/>
    <w:rsid w:val="00285FD3"/>
    <w:rsid w:val="00286095"/>
    <w:rsid w:val="002861CF"/>
    <w:rsid w:val="002866D2"/>
    <w:rsid w:val="00286711"/>
    <w:rsid w:val="00286757"/>
    <w:rsid w:val="00286792"/>
    <w:rsid w:val="00286A3E"/>
    <w:rsid w:val="00286AFB"/>
    <w:rsid w:val="00286BCA"/>
    <w:rsid w:val="002871A6"/>
    <w:rsid w:val="00287248"/>
    <w:rsid w:val="002872B2"/>
    <w:rsid w:val="00287464"/>
    <w:rsid w:val="00287BC9"/>
    <w:rsid w:val="00287C83"/>
    <w:rsid w:val="00287D71"/>
    <w:rsid w:val="00287EE1"/>
    <w:rsid w:val="002901BB"/>
    <w:rsid w:val="002901CD"/>
    <w:rsid w:val="002906AC"/>
    <w:rsid w:val="00290BF6"/>
    <w:rsid w:val="0029194E"/>
    <w:rsid w:val="00291B6C"/>
    <w:rsid w:val="00291E05"/>
    <w:rsid w:val="00292124"/>
    <w:rsid w:val="002923E4"/>
    <w:rsid w:val="002927D9"/>
    <w:rsid w:val="00292E9B"/>
    <w:rsid w:val="002937B8"/>
    <w:rsid w:val="002944F2"/>
    <w:rsid w:val="00294763"/>
    <w:rsid w:val="00294BC6"/>
    <w:rsid w:val="00294F88"/>
    <w:rsid w:val="00295776"/>
    <w:rsid w:val="002957C8"/>
    <w:rsid w:val="00295980"/>
    <w:rsid w:val="00295A47"/>
    <w:rsid w:val="00295AE9"/>
    <w:rsid w:val="00295B74"/>
    <w:rsid w:val="00295C07"/>
    <w:rsid w:val="00295DC7"/>
    <w:rsid w:val="002965E3"/>
    <w:rsid w:val="00296B87"/>
    <w:rsid w:val="00296BBE"/>
    <w:rsid w:val="00296DE3"/>
    <w:rsid w:val="0029700C"/>
    <w:rsid w:val="00297809"/>
    <w:rsid w:val="0029784B"/>
    <w:rsid w:val="00297E0F"/>
    <w:rsid w:val="00297E77"/>
    <w:rsid w:val="00297EEC"/>
    <w:rsid w:val="002A022E"/>
    <w:rsid w:val="002A04B7"/>
    <w:rsid w:val="002A097C"/>
    <w:rsid w:val="002A0C1A"/>
    <w:rsid w:val="002A124F"/>
    <w:rsid w:val="002A146D"/>
    <w:rsid w:val="002A163D"/>
    <w:rsid w:val="002A180F"/>
    <w:rsid w:val="002A1A46"/>
    <w:rsid w:val="002A1DD1"/>
    <w:rsid w:val="002A21C0"/>
    <w:rsid w:val="002A3141"/>
    <w:rsid w:val="002A3540"/>
    <w:rsid w:val="002A35CD"/>
    <w:rsid w:val="002A36D7"/>
    <w:rsid w:val="002A37CA"/>
    <w:rsid w:val="002A422D"/>
    <w:rsid w:val="002A47B6"/>
    <w:rsid w:val="002A4835"/>
    <w:rsid w:val="002A4B0D"/>
    <w:rsid w:val="002A4DBB"/>
    <w:rsid w:val="002A4E02"/>
    <w:rsid w:val="002A4E3F"/>
    <w:rsid w:val="002A4F31"/>
    <w:rsid w:val="002A51A3"/>
    <w:rsid w:val="002A5379"/>
    <w:rsid w:val="002A54BD"/>
    <w:rsid w:val="002A5551"/>
    <w:rsid w:val="002A557C"/>
    <w:rsid w:val="002A595B"/>
    <w:rsid w:val="002A5D4A"/>
    <w:rsid w:val="002A5E0E"/>
    <w:rsid w:val="002A5F37"/>
    <w:rsid w:val="002A6157"/>
    <w:rsid w:val="002A655B"/>
    <w:rsid w:val="002A65AD"/>
    <w:rsid w:val="002A6834"/>
    <w:rsid w:val="002A6863"/>
    <w:rsid w:val="002A690F"/>
    <w:rsid w:val="002A69A0"/>
    <w:rsid w:val="002A6C6C"/>
    <w:rsid w:val="002A6D6C"/>
    <w:rsid w:val="002A7204"/>
    <w:rsid w:val="002A72A0"/>
    <w:rsid w:val="002A7304"/>
    <w:rsid w:val="002A7895"/>
    <w:rsid w:val="002A7B51"/>
    <w:rsid w:val="002A7B82"/>
    <w:rsid w:val="002A7D7D"/>
    <w:rsid w:val="002A7DC6"/>
    <w:rsid w:val="002B0540"/>
    <w:rsid w:val="002B188A"/>
    <w:rsid w:val="002B1C16"/>
    <w:rsid w:val="002B1EBC"/>
    <w:rsid w:val="002B1F1D"/>
    <w:rsid w:val="002B1FB4"/>
    <w:rsid w:val="002B2A7A"/>
    <w:rsid w:val="002B2B4F"/>
    <w:rsid w:val="002B2D13"/>
    <w:rsid w:val="002B2FC2"/>
    <w:rsid w:val="002B3088"/>
    <w:rsid w:val="002B3329"/>
    <w:rsid w:val="002B33C0"/>
    <w:rsid w:val="002B3942"/>
    <w:rsid w:val="002B3B0B"/>
    <w:rsid w:val="002B40C1"/>
    <w:rsid w:val="002B482F"/>
    <w:rsid w:val="002B4844"/>
    <w:rsid w:val="002B4B1B"/>
    <w:rsid w:val="002B4D0D"/>
    <w:rsid w:val="002B4D19"/>
    <w:rsid w:val="002B4F03"/>
    <w:rsid w:val="002B51DB"/>
    <w:rsid w:val="002B52C8"/>
    <w:rsid w:val="002B53BB"/>
    <w:rsid w:val="002B5CD2"/>
    <w:rsid w:val="002B61DA"/>
    <w:rsid w:val="002B6264"/>
    <w:rsid w:val="002B71AA"/>
    <w:rsid w:val="002B78DC"/>
    <w:rsid w:val="002B7C4E"/>
    <w:rsid w:val="002C043A"/>
    <w:rsid w:val="002C07E4"/>
    <w:rsid w:val="002C0BDF"/>
    <w:rsid w:val="002C110D"/>
    <w:rsid w:val="002C137A"/>
    <w:rsid w:val="002C1381"/>
    <w:rsid w:val="002C13F0"/>
    <w:rsid w:val="002C147A"/>
    <w:rsid w:val="002C16CF"/>
    <w:rsid w:val="002C1A31"/>
    <w:rsid w:val="002C1A7E"/>
    <w:rsid w:val="002C1AAC"/>
    <w:rsid w:val="002C21DD"/>
    <w:rsid w:val="002C2202"/>
    <w:rsid w:val="002C2683"/>
    <w:rsid w:val="002C28E4"/>
    <w:rsid w:val="002C3162"/>
    <w:rsid w:val="002C318D"/>
    <w:rsid w:val="002C3237"/>
    <w:rsid w:val="002C368A"/>
    <w:rsid w:val="002C377C"/>
    <w:rsid w:val="002C3D24"/>
    <w:rsid w:val="002C3E29"/>
    <w:rsid w:val="002C4003"/>
    <w:rsid w:val="002C40D1"/>
    <w:rsid w:val="002C4B62"/>
    <w:rsid w:val="002C4DB7"/>
    <w:rsid w:val="002C5162"/>
    <w:rsid w:val="002C5421"/>
    <w:rsid w:val="002C54CE"/>
    <w:rsid w:val="002C559F"/>
    <w:rsid w:val="002C5FB8"/>
    <w:rsid w:val="002C61C6"/>
    <w:rsid w:val="002C6450"/>
    <w:rsid w:val="002C68FB"/>
    <w:rsid w:val="002C6B45"/>
    <w:rsid w:val="002C7254"/>
    <w:rsid w:val="002C72B2"/>
    <w:rsid w:val="002C758D"/>
    <w:rsid w:val="002C765F"/>
    <w:rsid w:val="002C7D75"/>
    <w:rsid w:val="002CC3E0"/>
    <w:rsid w:val="002D02F7"/>
    <w:rsid w:val="002D1005"/>
    <w:rsid w:val="002D110A"/>
    <w:rsid w:val="002D17E0"/>
    <w:rsid w:val="002D24D9"/>
    <w:rsid w:val="002D2748"/>
    <w:rsid w:val="002D2A1D"/>
    <w:rsid w:val="002D2AFA"/>
    <w:rsid w:val="002D2C5E"/>
    <w:rsid w:val="002D303C"/>
    <w:rsid w:val="002D31A8"/>
    <w:rsid w:val="002D3224"/>
    <w:rsid w:val="002D32D2"/>
    <w:rsid w:val="002D3384"/>
    <w:rsid w:val="002D35BB"/>
    <w:rsid w:val="002D3826"/>
    <w:rsid w:val="002D385F"/>
    <w:rsid w:val="002D3AD8"/>
    <w:rsid w:val="002D3B8F"/>
    <w:rsid w:val="002D3BB6"/>
    <w:rsid w:val="002D3C02"/>
    <w:rsid w:val="002D3F95"/>
    <w:rsid w:val="002D4065"/>
    <w:rsid w:val="002D4113"/>
    <w:rsid w:val="002D4767"/>
    <w:rsid w:val="002D4839"/>
    <w:rsid w:val="002D493C"/>
    <w:rsid w:val="002D5094"/>
    <w:rsid w:val="002D510A"/>
    <w:rsid w:val="002D59D9"/>
    <w:rsid w:val="002D5E46"/>
    <w:rsid w:val="002D65D6"/>
    <w:rsid w:val="002D675C"/>
    <w:rsid w:val="002D68B3"/>
    <w:rsid w:val="002D6AAB"/>
    <w:rsid w:val="002D6C18"/>
    <w:rsid w:val="002D6DF2"/>
    <w:rsid w:val="002D6FF6"/>
    <w:rsid w:val="002D70C7"/>
    <w:rsid w:val="002D75F6"/>
    <w:rsid w:val="002D784E"/>
    <w:rsid w:val="002E06D0"/>
    <w:rsid w:val="002E09D0"/>
    <w:rsid w:val="002E0A07"/>
    <w:rsid w:val="002E0A8A"/>
    <w:rsid w:val="002E0EFF"/>
    <w:rsid w:val="002E1174"/>
    <w:rsid w:val="002E1216"/>
    <w:rsid w:val="002E1272"/>
    <w:rsid w:val="002E1B46"/>
    <w:rsid w:val="002E1DA3"/>
    <w:rsid w:val="002E209A"/>
    <w:rsid w:val="002E265E"/>
    <w:rsid w:val="002E2C16"/>
    <w:rsid w:val="002E2CCD"/>
    <w:rsid w:val="002E3165"/>
    <w:rsid w:val="002E3506"/>
    <w:rsid w:val="002E37B5"/>
    <w:rsid w:val="002E389E"/>
    <w:rsid w:val="002E4042"/>
    <w:rsid w:val="002E4101"/>
    <w:rsid w:val="002E4FEE"/>
    <w:rsid w:val="002E5129"/>
    <w:rsid w:val="002E5771"/>
    <w:rsid w:val="002E57F0"/>
    <w:rsid w:val="002E5954"/>
    <w:rsid w:val="002E5C7C"/>
    <w:rsid w:val="002E63DE"/>
    <w:rsid w:val="002E65E6"/>
    <w:rsid w:val="002E6840"/>
    <w:rsid w:val="002E6EF0"/>
    <w:rsid w:val="002E7193"/>
    <w:rsid w:val="002E7276"/>
    <w:rsid w:val="002E73AC"/>
    <w:rsid w:val="002E783F"/>
    <w:rsid w:val="002E789C"/>
    <w:rsid w:val="002E7D39"/>
    <w:rsid w:val="002F0263"/>
    <w:rsid w:val="002F069A"/>
    <w:rsid w:val="002F0A2D"/>
    <w:rsid w:val="002F15FF"/>
    <w:rsid w:val="002F1D40"/>
    <w:rsid w:val="002F21B1"/>
    <w:rsid w:val="002F271F"/>
    <w:rsid w:val="002F2800"/>
    <w:rsid w:val="002F2808"/>
    <w:rsid w:val="002F2988"/>
    <w:rsid w:val="002F2C9E"/>
    <w:rsid w:val="002F31CD"/>
    <w:rsid w:val="002F3849"/>
    <w:rsid w:val="002F38B8"/>
    <w:rsid w:val="002F395F"/>
    <w:rsid w:val="002F39E2"/>
    <w:rsid w:val="002F3B71"/>
    <w:rsid w:val="002F3C1F"/>
    <w:rsid w:val="002F3FE2"/>
    <w:rsid w:val="002F43DB"/>
    <w:rsid w:val="002F4875"/>
    <w:rsid w:val="002F4BC7"/>
    <w:rsid w:val="002F4EB2"/>
    <w:rsid w:val="002F51EB"/>
    <w:rsid w:val="002F5F77"/>
    <w:rsid w:val="002F6A64"/>
    <w:rsid w:val="002F6AF2"/>
    <w:rsid w:val="002F7099"/>
    <w:rsid w:val="002F7B89"/>
    <w:rsid w:val="003000BA"/>
    <w:rsid w:val="003001E9"/>
    <w:rsid w:val="00300262"/>
    <w:rsid w:val="00300499"/>
    <w:rsid w:val="003005A3"/>
    <w:rsid w:val="0030060A"/>
    <w:rsid w:val="00300A1A"/>
    <w:rsid w:val="00300C08"/>
    <w:rsid w:val="003011D4"/>
    <w:rsid w:val="0030145E"/>
    <w:rsid w:val="003016C7"/>
    <w:rsid w:val="00301729"/>
    <w:rsid w:val="00301BA7"/>
    <w:rsid w:val="00301D04"/>
    <w:rsid w:val="00301D7B"/>
    <w:rsid w:val="00301EC7"/>
    <w:rsid w:val="00302142"/>
    <w:rsid w:val="003023CE"/>
    <w:rsid w:val="003024F3"/>
    <w:rsid w:val="00302914"/>
    <w:rsid w:val="00302CB3"/>
    <w:rsid w:val="00302F20"/>
    <w:rsid w:val="003030D6"/>
    <w:rsid w:val="003032A2"/>
    <w:rsid w:val="003035A5"/>
    <w:rsid w:val="003039FD"/>
    <w:rsid w:val="00303B39"/>
    <w:rsid w:val="00303BD6"/>
    <w:rsid w:val="003040DE"/>
    <w:rsid w:val="00304354"/>
    <w:rsid w:val="003045C4"/>
    <w:rsid w:val="003045FF"/>
    <w:rsid w:val="003048C2"/>
    <w:rsid w:val="0030498D"/>
    <w:rsid w:val="00304A4D"/>
    <w:rsid w:val="00304DF3"/>
    <w:rsid w:val="00304E0A"/>
    <w:rsid w:val="0030540E"/>
    <w:rsid w:val="003054E2"/>
    <w:rsid w:val="0030572B"/>
    <w:rsid w:val="003059E9"/>
    <w:rsid w:val="00305AAF"/>
    <w:rsid w:val="00306164"/>
    <w:rsid w:val="00306173"/>
    <w:rsid w:val="00306BB1"/>
    <w:rsid w:val="00307199"/>
    <w:rsid w:val="003076DE"/>
    <w:rsid w:val="0030793B"/>
    <w:rsid w:val="00307DDA"/>
    <w:rsid w:val="00307E0E"/>
    <w:rsid w:val="0031003B"/>
    <w:rsid w:val="00310468"/>
    <w:rsid w:val="0031056B"/>
    <w:rsid w:val="003107AB"/>
    <w:rsid w:val="00310928"/>
    <w:rsid w:val="00310D58"/>
    <w:rsid w:val="00311292"/>
    <w:rsid w:val="0031138C"/>
    <w:rsid w:val="003115EC"/>
    <w:rsid w:val="00311B29"/>
    <w:rsid w:val="003120FD"/>
    <w:rsid w:val="00312191"/>
    <w:rsid w:val="0031294A"/>
    <w:rsid w:val="00312BA2"/>
    <w:rsid w:val="00312ED0"/>
    <w:rsid w:val="003131CA"/>
    <w:rsid w:val="00313568"/>
    <w:rsid w:val="00313606"/>
    <w:rsid w:val="00313C89"/>
    <w:rsid w:val="00313DFD"/>
    <w:rsid w:val="003140F5"/>
    <w:rsid w:val="003143F6"/>
    <w:rsid w:val="003144F9"/>
    <w:rsid w:val="003146EB"/>
    <w:rsid w:val="003148C6"/>
    <w:rsid w:val="00314D7D"/>
    <w:rsid w:val="0031560D"/>
    <w:rsid w:val="003159F5"/>
    <w:rsid w:val="00315CF7"/>
    <w:rsid w:val="00315EA0"/>
    <w:rsid w:val="0031618A"/>
    <w:rsid w:val="0031623D"/>
    <w:rsid w:val="003163D4"/>
    <w:rsid w:val="0031654A"/>
    <w:rsid w:val="00316648"/>
    <w:rsid w:val="00316BA7"/>
    <w:rsid w:val="00316FDD"/>
    <w:rsid w:val="00317B7D"/>
    <w:rsid w:val="00317E1D"/>
    <w:rsid w:val="00317E61"/>
    <w:rsid w:val="00317F3C"/>
    <w:rsid w:val="0032074C"/>
    <w:rsid w:val="00320758"/>
    <w:rsid w:val="00321328"/>
    <w:rsid w:val="0032137F"/>
    <w:rsid w:val="003215F6"/>
    <w:rsid w:val="003216A8"/>
    <w:rsid w:val="00321875"/>
    <w:rsid w:val="00321A77"/>
    <w:rsid w:val="00321AB9"/>
    <w:rsid w:val="00321AE9"/>
    <w:rsid w:val="00321D25"/>
    <w:rsid w:val="00321FA6"/>
    <w:rsid w:val="003222A6"/>
    <w:rsid w:val="003222FC"/>
    <w:rsid w:val="00322B4F"/>
    <w:rsid w:val="00322F95"/>
    <w:rsid w:val="003232D6"/>
    <w:rsid w:val="00323384"/>
    <w:rsid w:val="003233FC"/>
    <w:rsid w:val="0032362C"/>
    <w:rsid w:val="00323E64"/>
    <w:rsid w:val="0032429E"/>
    <w:rsid w:val="00324314"/>
    <w:rsid w:val="0032434B"/>
    <w:rsid w:val="003243DC"/>
    <w:rsid w:val="0032450B"/>
    <w:rsid w:val="00324649"/>
    <w:rsid w:val="003246CB"/>
    <w:rsid w:val="003247D8"/>
    <w:rsid w:val="00324DB8"/>
    <w:rsid w:val="00324E50"/>
    <w:rsid w:val="0032565E"/>
    <w:rsid w:val="00325694"/>
    <w:rsid w:val="00325805"/>
    <w:rsid w:val="00325EAB"/>
    <w:rsid w:val="0032695B"/>
    <w:rsid w:val="00326D9F"/>
    <w:rsid w:val="00327498"/>
    <w:rsid w:val="003275C9"/>
    <w:rsid w:val="00327761"/>
    <w:rsid w:val="003278E5"/>
    <w:rsid w:val="00327A41"/>
    <w:rsid w:val="00327B1A"/>
    <w:rsid w:val="00327E39"/>
    <w:rsid w:val="003300DF"/>
    <w:rsid w:val="003303AB"/>
    <w:rsid w:val="00330584"/>
    <w:rsid w:val="003308FF"/>
    <w:rsid w:val="00330EB3"/>
    <w:rsid w:val="003315D1"/>
    <w:rsid w:val="00331EC7"/>
    <w:rsid w:val="00332049"/>
    <w:rsid w:val="00332B48"/>
    <w:rsid w:val="00332D09"/>
    <w:rsid w:val="00332D4D"/>
    <w:rsid w:val="00332FF1"/>
    <w:rsid w:val="003336A3"/>
    <w:rsid w:val="0033388B"/>
    <w:rsid w:val="00333BF8"/>
    <w:rsid w:val="00334313"/>
    <w:rsid w:val="0033459A"/>
    <w:rsid w:val="003345BD"/>
    <w:rsid w:val="00334B24"/>
    <w:rsid w:val="00334C05"/>
    <w:rsid w:val="00334CB4"/>
    <w:rsid w:val="003350CF"/>
    <w:rsid w:val="00335791"/>
    <w:rsid w:val="00335CC8"/>
    <w:rsid w:val="00336035"/>
    <w:rsid w:val="003363EA"/>
    <w:rsid w:val="00336E99"/>
    <w:rsid w:val="0033715B"/>
    <w:rsid w:val="0033738A"/>
    <w:rsid w:val="003373FE"/>
    <w:rsid w:val="00340371"/>
    <w:rsid w:val="00340485"/>
    <w:rsid w:val="00340523"/>
    <w:rsid w:val="00340865"/>
    <w:rsid w:val="00340B0D"/>
    <w:rsid w:val="00340B15"/>
    <w:rsid w:val="00340ECC"/>
    <w:rsid w:val="00340F2A"/>
    <w:rsid w:val="003414FF"/>
    <w:rsid w:val="00341641"/>
    <w:rsid w:val="0034169F"/>
    <w:rsid w:val="00341C0D"/>
    <w:rsid w:val="00341D09"/>
    <w:rsid w:val="00342511"/>
    <w:rsid w:val="0034273B"/>
    <w:rsid w:val="00342879"/>
    <w:rsid w:val="00342A3D"/>
    <w:rsid w:val="00342C8D"/>
    <w:rsid w:val="00343142"/>
    <w:rsid w:val="00343350"/>
    <w:rsid w:val="0034337C"/>
    <w:rsid w:val="003433FE"/>
    <w:rsid w:val="00343B87"/>
    <w:rsid w:val="00343BA5"/>
    <w:rsid w:val="00343C55"/>
    <w:rsid w:val="0034415D"/>
    <w:rsid w:val="003447E1"/>
    <w:rsid w:val="00344AA2"/>
    <w:rsid w:val="00344C60"/>
    <w:rsid w:val="003457E3"/>
    <w:rsid w:val="0034588E"/>
    <w:rsid w:val="00345978"/>
    <w:rsid w:val="00345DF3"/>
    <w:rsid w:val="00346118"/>
    <w:rsid w:val="00346348"/>
    <w:rsid w:val="00346415"/>
    <w:rsid w:val="0034648F"/>
    <w:rsid w:val="0034652A"/>
    <w:rsid w:val="003466D0"/>
    <w:rsid w:val="003466FC"/>
    <w:rsid w:val="00347030"/>
    <w:rsid w:val="00347450"/>
    <w:rsid w:val="00347640"/>
    <w:rsid w:val="00347A88"/>
    <w:rsid w:val="00347C36"/>
    <w:rsid w:val="00347FCB"/>
    <w:rsid w:val="00350534"/>
    <w:rsid w:val="003506B2"/>
    <w:rsid w:val="00350944"/>
    <w:rsid w:val="00351055"/>
    <w:rsid w:val="003512EF"/>
    <w:rsid w:val="0035148B"/>
    <w:rsid w:val="00351613"/>
    <w:rsid w:val="0035182A"/>
    <w:rsid w:val="00351970"/>
    <w:rsid w:val="00351CE5"/>
    <w:rsid w:val="00351CFF"/>
    <w:rsid w:val="00352CDE"/>
    <w:rsid w:val="00353458"/>
    <w:rsid w:val="0035345E"/>
    <w:rsid w:val="00353468"/>
    <w:rsid w:val="003534A5"/>
    <w:rsid w:val="003537D3"/>
    <w:rsid w:val="00353A6D"/>
    <w:rsid w:val="00353A6F"/>
    <w:rsid w:val="00353C49"/>
    <w:rsid w:val="00353F77"/>
    <w:rsid w:val="00353F8D"/>
    <w:rsid w:val="00354282"/>
    <w:rsid w:val="00354466"/>
    <w:rsid w:val="003544BC"/>
    <w:rsid w:val="00354C02"/>
    <w:rsid w:val="00354F96"/>
    <w:rsid w:val="003554E6"/>
    <w:rsid w:val="00355552"/>
    <w:rsid w:val="003555BA"/>
    <w:rsid w:val="00355707"/>
    <w:rsid w:val="00355897"/>
    <w:rsid w:val="003560CB"/>
    <w:rsid w:val="0035698B"/>
    <w:rsid w:val="00356D44"/>
    <w:rsid w:val="00356E74"/>
    <w:rsid w:val="0035710F"/>
    <w:rsid w:val="0035726C"/>
    <w:rsid w:val="00357447"/>
    <w:rsid w:val="003575BC"/>
    <w:rsid w:val="003575C5"/>
    <w:rsid w:val="00357BA6"/>
    <w:rsid w:val="0035E2A9"/>
    <w:rsid w:val="003601AD"/>
    <w:rsid w:val="00360404"/>
    <w:rsid w:val="00360572"/>
    <w:rsid w:val="003608E7"/>
    <w:rsid w:val="00360A16"/>
    <w:rsid w:val="0036114B"/>
    <w:rsid w:val="00361CE9"/>
    <w:rsid w:val="00361D1A"/>
    <w:rsid w:val="00361E3A"/>
    <w:rsid w:val="003620E7"/>
    <w:rsid w:val="003621B9"/>
    <w:rsid w:val="0036292F"/>
    <w:rsid w:val="00362B83"/>
    <w:rsid w:val="00362D77"/>
    <w:rsid w:val="00362E32"/>
    <w:rsid w:val="00362FD6"/>
    <w:rsid w:val="003634E4"/>
    <w:rsid w:val="00363781"/>
    <w:rsid w:val="00364478"/>
    <w:rsid w:val="0036456F"/>
    <w:rsid w:val="00364853"/>
    <w:rsid w:val="003649AE"/>
    <w:rsid w:val="00364A25"/>
    <w:rsid w:val="00364A39"/>
    <w:rsid w:val="00364BC8"/>
    <w:rsid w:val="00364FA7"/>
    <w:rsid w:val="00365030"/>
    <w:rsid w:val="00365171"/>
    <w:rsid w:val="003652E6"/>
    <w:rsid w:val="003656F1"/>
    <w:rsid w:val="00365889"/>
    <w:rsid w:val="00365973"/>
    <w:rsid w:val="00365AD9"/>
    <w:rsid w:val="00365B0C"/>
    <w:rsid w:val="00365C10"/>
    <w:rsid w:val="00365E54"/>
    <w:rsid w:val="00365F1E"/>
    <w:rsid w:val="003660C7"/>
    <w:rsid w:val="00366270"/>
    <w:rsid w:val="0036648E"/>
    <w:rsid w:val="003668E9"/>
    <w:rsid w:val="0036693F"/>
    <w:rsid w:val="00366A7F"/>
    <w:rsid w:val="00366AD4"/>
    <w:rsid w:val="00366B63"/>
    <w:rsid w:val="00366DFE"/>
    <w:rsid w:val="00367505"/>
    <w:rsid w:val="00367555"/>
    <w:rsid w:val="00367B02"/>
    <w:rsid w:val="00367ED4"/>
    <w:rsid w:val="0037016A"/>
    <w:rsid w:val="00370374"/>
    <w:rsid w:val="003707ED"/>
    <w:rsid w:val="0037101A"/>
    <w:rsid w:val="00371194"/>
    <w:rsid w:val="003712EC"/>
    <w:rsid w:val="003713BC"/>
    <w:rsid w:val="00371417"/>
    <w:rsid w:val="00371810"/>
    <w:rsid w:val="00371B6D"/>
    <w:rsid w:val="0037206B"/>
    <w:rsid w:val="003720C1"/>
    <w:rsid w:val="003722C3"/>
    <w:rsid w:val="003723FC"/>
    <w:rsid w:val="003724B9"/>
    <w:rsid w:val="00372843"/>
    <w:rsid w:val="003728A7"/>
    <w:rsid w:val="00372AAD"/>
    <w:rsid w:val="003731DD"/>
    <w:rsid w:val="00373211"/>
    <w:rsid w:val="0037349E"/>
    <w:rsid w:val="003735D3"/>
    <w:rsid w:val="00373638"/>
    <w:rsid w:val="00373969"/>
    <w:rsid w:val="003745F1"/>
    <w:rsid w:val="003747B5"/>
    <w:rsid w:val="00374A25"/>
    <w:rsid w:val="00374AC6"/>
    <w:rsid w:val="00374BC3"/>
    <w:rsid w:val="00374CF1"/>
    <w:rsid w:val="003754BF"/>
    <w:rsid w:val="00375ABF"/>
    <w:rsid w:val="00375CC1"/>
    <w:rsid w:val="00375D4C"/>
    <w:rsid w:val="0037604A"/>
    <w:rsid w:val="003760C2"/>
    <w:rsid w:val="00376134"/>
    <w:rsid w:val="00376229"/>
    <w:rsid w:val="0037639C"/>
    <w:rsid w:val="003763BB"/>
    <w:rsid w:val="003766A8"/>
    <w:rsid w:val="00376891"/>
    <w:rsid w:val="003768FD"/>
    <w:rsid w:val="00376A56"/>
    <w:rsid w:val="00376D9E"/>
    <w:rsid w:val="00377213"/>
    <w:rsid w:val="0037753C"/>
    <w:rsid w:val="00377BD9"/>
    <w:rsid w:val="00380669"/>
    <w:rsid w:val="0038068E"/>
    <w:rsid w:val="00380808"/>
    <w:rsid w:val="00380925"/>
    <w:rsid w:val="00380953"/>
    <w:rsid w:val="00380999"/>
    <w:rsid w:val="003811DF"/>
    <w:rsid w:val="003816A7"/>
    <w:rsid w:val="00381D0D"/>
    <w:rsid w:val="00382595"/>
    <w:rsid w:val="00382F33"/>
    <w:rsid w:val="0038319F"/>
    <w:rsid w:val="00383220"/>
    <w:rsid w:val="003832C3"/>
    <w:rsid w:val="003835CB"/>
    <w:rsid w:val="003837B4"/>
    <w:rsid w:val="00383853"/>
    <w:rsid w:val="00383F3E"/>
    <w:rsid w:val="003845A8"/>
    <w:rsid w:val="0038476F"/>
    <w:rsid w:val="0038482B"/>
    <w:rsid w:val="00384B6F"/>
    <w:rsid w:val="00384D99"/>
    <w:rsid w:val="00384F4C"/>
    <w:rsid w:val="00384F7C"/>
    <w:rsid w:val="003855ED"/>
    <w:rsid w:val="00385FA6"/>
    <w:rsid w:val="00386077"/>
    <w:rsid w:val="00386090"/>
    <w:rsid w:val="003862E1"/>
    <w:rsid w:val="00386439"/>
    <w:rsid w:val="00386830"/>
    <w:rsid w:val="00386D50"/>
    <w:rsid w:val="00387140"/>
    <w:rsid w:val="00387616"/>
    <w:rsid w:val="00390025"/>
    <w:rsid w:val="0039089C"/>
    <w:rsid w:val="0039169E"/>
    <w:rsid w:val="003918AD"/>
    <w:rsid w:val="00391A16"/>
    <w:rsid w:val="00391BBE"/>
    <w:rsid w:val="00391F21"/>
    <w:rsid w:val="0039210B"/>
    <w:rsid w:val="003921F2"/>
    <w:rsid w:val="00392A27"/>
    <w:rsid w:val="00393094"/>
    <w:rsid w:val="003934EC"/>
    <w:rsid w:val="00393754"/>
    <w:rsid w:val="00393D45"/>
    <w:rsid w:val="00394593"/>
    <w:rsid w:val="003946D3"/>
    <w:rsid w:val="003946F9"/>
    <w:rsid w:val="003947E6"/>
    <w:rsid w:val="00394F4B"/>
    <w:rsid w:val="00395316"/>
    <w:rsid w:val="003953C8"/>
    <w:rsid w:val="003953F1"/>
    <w:rsid w:val="0039568F"/>
    <w:rsid w:val="00395966"/>
    <w:rsid w:val="00395E39"/>
    <w:rsid w:val="0039663A"/>
    <w:rsid w:val="003966BD"/>
    <w:rsid w:val="003966F2"/>
    <w:rsid w:val="0039695A"/>
    <w:rsid w:val="003970E1"/>
    <w:rsid w:val="003970FD"/>
    <w:rsid w:val="00397619"/>
    <w:rsid w:val="00397C58"/>
    <w:rsid w:val="00397D27"/>
    <w:rsid w:val="00397DA2"/>
    <w:rsid w:val="003A0509"/>
    <w:rsid w:val="003A0D5A"/>
    <w:rsid w:val="003A183A"/>
    <w:rsid w:val="003A1A1E"/>
    <w:rsid w:val="003A1BA6"/>
    <w:rsid w:val="003A200F"/>
    <w:rsid w:val="003A23B2"/>
    <w:rsid w:val="003A27F1"/>
    <w:rsid w:val="003A2885"/>
    <w:rsid w:val="003A2E74"/>
    <w:rsid w:val="003A3210"/>
    <w:rsid w:val="003A322E"/>
    <w:rsid w:val="003A36E6"/>
    <w:rsid w:val="003A391B"/>
    <w:rsid w:val="003A39E1"/>
    <w:rsid w:val="003A3DBB"/>
    <w:rsid w:val="003A408D"/>
    <w:rsid w:val="003A4142"/>
    <w:rsid w:val="003A48FF"/>
    <w:rsid w:val="003A492E"/>
    <w:rsid w:val="003A4BDC"/>
    <w:rsid w:val="003A4C36"/>
    <w:rsid w:val="003A4DBD"/>
    <w:rsid w:val="003A5217"/>
    <w:rsid w:val="003A54E3"/>
    <w:rsid w:val="003A55F3"/>
    <w:rsid w:val="003A577B"/>
    <w:rsid w:val="003A58BF"/>
    <w:rsid w:val="003A595F"/>
    <w:rsid w:val="003A5E5A"/>
    <w:rsid w:val="003A5EDC"/>
    <w:rsid w:val="003A5EF4"/>
    <w:rsid w:val="003A66B3"/>
    <w:rsid w:val="003A6A75"/>
    <w:rsid w:val="003A6AF6"/>
    <w:rsid w:val="003A6D05"/>
    <w:rsid w:val="003A6E62"/>
    <w:rsid w:val="003A6E6D"/>
    <w:rsid w:val="003A6EBF"/>
    <w:rsid w:val="003A7243"/>
    <w:rsid w:val="003A7685"/>
    <w:rsid w:val="003A76C7"/>
    <w:rsid w:val="003A784C"/>
    <w:rsid w:val="003A7A38"/>
    <w:rsid w:val="003A7BAF"/>
    <w:rsid w:val="003A7DD6"/>
    <w:rsid w:val="003A7E1B"/>
    <w:rsid w:val="003A7F26"/>
    <w:rsid w:val="003B056A"/>
    <w:rsid w:val="003B0B01"/>
    <w:rsid w:val="003B0DE9"/>
    <w:rsid w:val="003B1636"/>
    <w:rsid w:val="003B1674"/>
    <w:rsid w:val="003B18CA"/>
    <w:rsid w:val="003B18DD"/>
    <w:rsid w:val="003B1D57"/>
    <w:rsid w:val="003B1EAD"/>
    <w:rsid w:val="003B1EE3"/>
    <w:rsid w:val="003B1F80"/>
    <w:rsid w:val="003B1F8B"/>
    <w:rsid w:val="003B23E0"/>
    <w:rsid w:val="003B257E"/>
    <w:rsid w:val="003B271C"/>
    <w:rsid w:val="003B2D5C"/>
    <w:rsid w:val="003B34F9"/>
    <w:rsid w:val="003B36E4"/>
    <w:rsid w:val="003B386B"/>
    <w:rsid w:val="003B3CD1"/>
    <w:rsid w:val="003B3D54"/>
    <w:rsid w:val="003B3D68"/>
    <w:rsid w:val="003B3E47"/>
    <w:rsid w:val="003B410C"/>
    <w:rsid w:val="003B43B9"/>
    <w:rsid w:val="003B45D4"/>
    <w:rsid w:val="003B4D06"/>
    <w:rsid w:val="003B5440"/>
    <w:rsid w:val="003B5B45"/>
    <w:rsid w:val="003B6315"/>
    <w:rsid w:val="003B6ED1"/>
    <w:rsid w:val="003B7921"/>
    <w:rsid w:val="003B7C21"/>
    <w:rsid w:val="003C006E"/>
    <w:rsid w:val="003C01C6"/>
    <w:rsid w:val="003C0506"/>
    <w:rsid w:val="003C0817"/>
    <w:rsid w:val="003C0AC5"/>
    <w:rsid w:val="003C0B59"/>
    <w:rsid w:val="003C0CC0"/>
    <w:rsid w:val="003C0E16"/>
    <w:rsid w:val="003C1228"/>
    <w:rsid w:val="003C16BE"/>
    <w:rsid w:val="003C1A3B"/>
    <w:rsid w:val="003C1D7B"/>
    <w:rsid w:val="003C1F85"/>
    <w:rsid w:val="003C2127"/>
    <w:rsid w:val="003C2289"/>
    <w:rsid w:val="003C246C"/>
    <w:rsid w:val="003C24F9"/>
    <w:rsid w:val="003C29DF"/>
    <w:rsid w:val="003C2A82"/>
    <w:rsid w:val="003C2D5C"/>
    <w:rsid w:val="003C302C"/>
    <w:rsid w:val="003C3236"/>
    <w:rsid w:val="003C33AF"/>
    <w:rsid w:val="003C364C"/>
    <w:rsid w:val="003C3871"/>
    <w:rsid w:val="003C3B1A"/>
    <w:rsid w:val="003C3B69"/>
    <w:rsid w:val="003C3BF4"/>
    <w:rsid w:val="003C3C74"/>
    <w:rsid w:val="003C3C84"/>
    <w:rsid w:val="003C3F5D"/>
    <w:rsid w:val="003C4070"/>
    <w:rsid w:val="003C4097"/>
    <w:rsid w:val="003C40A3"/>
    <w:rsid w:val="003C418C"/>
    <w:rsid w:val="003C4A09"/>
    <w:rsid w:val="003C4BCC"/>
    <w:rsid w:val="003C4D4F"/>
    <w:rsid w:val="003C5426"/>
    <w:rsid w:val="003C5C17"/>
    <w:rsid w:val="003C5C62"/>
    <w:rsid w:val="003C5EB4"/>
    <w:rsid w:val="003C5F7D"/>
    <w:rsid w:val="003C6004"/>
    <w:rsid w:val="003C64B3"/>
    <w:rsid w:val="003C6632"/>
    <w:rsid w:val="003C678C"/>
    <w:rsid w:val="003C6C5A"/>
    <w:rsid w:val="003C6CA4"/>
    <w:rsid w:val="003C6F0B"/>
    <w:rsid w:val="003C7378"/>
    <w:rsid w:val="003C74BD"/>
    <w:rsid w:val="003C75F1"/>
    <w:rsid w:val="003C78D9"/>
    <w:rsid w:val="003C7980"/>
    <w:rsid w:val="003D00E0"/>
    <w:rsid w:val="003D0114"/>
    <w:rsid w:val="003D012B"/>
    <w:rsid w:val="003D04E4"/>
    <w:rsid w:val="003D065A"/>
    <w:rsid w:val="003D078A"/>
    <w:rsid w:val="003D1067"/>
    <w:rsid w:val="003D1181"/>
    <w:rsid w:val="003D1446"/>
    <w:rsid w:val="003D16C3"/>
    <w:rsid w:val="003D1C66"/>
    <w:rsid w:val="003D24F3"/>
    <w:rsid w:val="003D25BF"/>
    <w:rsid w:val="003D29CE"/>
    <w:rsid w:val="003D2B2A"/>
    <w:rsid w:val="003D2F93"/>
    <w:rsid w:val="003D2F94"/>
    <w:rsid w:val="003D3940"/>
    <w:rsid w:val="003D3AB7"/>
    <w:rsid w:val="003D3E2A"/>
    <w:rsid w:val="003D4404"/>
    <w:rsid w:val="003D4527"/>
    <w:rsid w:val="003D49EB"/>
    <w:rsid w:val="003D4CA9"/>
    <w:rsid w:val="003D4CDB"/>
    <w:rsid w:val="003D540D"/>
    <w:rsid w:val="003D547A"/>
    <w:rsid w:val="003D58A8"/>
    <w:rsid w:val="003D5945"/>
    <w:rsid w:val="003D5992"/>
    <w:rsid w:val="003D5D43"/>
    <w:rsid w:val="003D60D1"/>
    <w:rsid w:val="003D60EA"/>
    <w:rsid w:val="003D62BB"/>
    <w:rsid w:val="003D6598"/>
    <w:rsid w:val="003D66A9"/>
    <w:rsid w:val="003D6C1B"/>
    <w:rsid w:val="003D6D5B"/>
    <w:rsid w:val="003D7098"/>
    <w:rsid w:val="003D7338"/>
    <w:rsid w:val="003D796C"/>
    <w:rsid w:val="003D7C56"/>
    <w:rsid w:val="003D7FE8"/>
    <w:rsid w:val="003E0039"/>
    <w:rsid w:val="003E078C"/>
    <w:rsid w:val="003E07EB"/>
    <w:rsid w:val="003E0857"/>
    <w:rsid w:val="003E0F1E"/>
    <w:rsid w:val="003E101A"/>
    <w:rsid w:val="003E13D1"/>
    <w:rsid w:val="003E1712"/>
    <w:rsid w:val="003E171A"/>
    <w:rsid w:val="003E1AEE"/>
    <w:rsid w:val="003E1CB5"/>
    <w:rsid w:val="003E2BBC"/>
    <w:rsid w:val="003E2D61"/>
    <w:rsid w:val="003E3299"/>
    <w:rsid w:val="003E3554"/>
    <w:rsid w:val="003E377A"/>
    <w:rsid w:val="003E3805"/>
    <w:rsid w:val="003E38A9"/>
    <w:rsid w:val="003E3A70"/>
    <w:rsid w:val="003E3BC8"/>
    <w:rsid w:val="003E3C65"/>
    <w:rsid w:val="003E420E"/>
    <w:rsid w:val="003E4346"/>
    <w:rsid w:val="003E4692"/>
    <w:rsid w:val="003E4D12"/>
    <w:rsid w:val="003E4DDA"/>
    <w:rsid w:val="003E4EBF"/>
    <w:rsid w:val="003E5126"/>
    <w:rsid w:val="003E52E8"/>
    <w:rsid w:val="003E5536"/>
    <w:rsid w:val="003E59B1"/>
    <w:rsid w:val="003E5B9A"/>
    <w:rsid w:val="003E616C"/>
    <w:rsid w:val="003E62B8"/>
    <w:rsid w:val="003E66DA"/>
    <w:rsid w:val="003E6865"/>
    <w:rsid w:val="003E6B01"/>
    <w:rsid w:val="003E6E2F"/>
    <w:rsid w:val="003E70C6"/>
    <w:rsid w:val="003E7688"/>
    <w:rsid w:val="003F01B8"/>
    <w:rsid w:val="003F031C"/>
    <w:rsid w:val="003F0BAC"/>
    <w:rsid w:val="003F0E1D"/>
    <w:rsid w:val="003F0FB9"/>
    <w:rsid w:val="003F1250"/>
    <w:rsid w:val="003F130F"/>
    <w:rsid w:val="003F1514"/>
    <w:rsid w:val="003F1705"/>
    <w:rsid w:val="003F1804"/>
    <w:rsid w:val="003F1B32"/>
    <w:rsid w:val="003F211A"/>
    <w:rsid w:val="003F23E7"/>
    <w:rsid w:val="003F2534"/>
    <w:rsid w:val="003F25B1"/>
    <w:rsid w:val="003F25F0"/>
    <w:rsid w:val="003F28B5"/>
    <w:rsid w:val="003F2904"/>
    <w:rsid w:val="003F31B0"/>
    <w:rsid w:val="003F337C"/>
    <w:rsid w:val="003F34A9"/>
    <w:rsid w:val="003F3C86"/>
    <w:rsid w:val="003F3F45"/>
    <w:rsid w:val="003F402D"/>
    <w:rsid w:val="003F422F"/>
    <w:rsid w:val="003F4711"/>
    <w:rsid w:val="003F4DBE"/>
    <w:rsid w:val="003F507D"/>
    <w:rsid w:val="003F51D5"/>
    <w:rsid w:val="003F56FA"/>
    <w:rsid w:val="003F58B8"/>
    <w:rsid w:val="003F5B5C"/>
    <w:rsid w:val="003F5E1C"/>
    <w:rsid w:val="003F5FEB"/>
    <w:rsid w:val="003F616A"/>
    <w:rsid w:val="003F62E4"/>
    <w:rsid w:val="003F6639"/>
    <w:rsid w:val="003F68BD"/>
    <w:rsid w:val="003F6F33"/>
    <w:rsid w:val="003F71E7"/>
    <w:rsid w:val="003F731E"/>
    <w:rsid w:val="003F7356"/>
    <w:rsid w:val="003F76F1"/>
    <w:rsid w:val="003F78D3"/>
    <w:rsid w:val="003F792A"/>
    <w:rsid w:val="003F795C"/>
    <w:rsid w:val="003F7C3F"/>
    <w:rsid w:val="003F7ECB"/>
    <w:rsid w:val="0040020D"/>
    <w:rsid w:val="0040026A"/>
    <w:rsid w:val="00400291"/>
    <w:rsid w:val="004002A8"/>
    <w:rsid w:val="004007D0"/>
    <w:rsid w:val="00400CE6"/>
    <w:rsid w:val="00401024"/>
    <w:rsid w:val="0040126C"/>
    <w:rsid w:val="0040146E"/>
    <w:rsid w:val="00401654"/>
    <w:rsid w:val="00401A37"/>
    <w:rsid w:val="00401A65"/>
    <w:rsid w:val="00401C61"/>
    <w:rsid w:val="00401C8B"/>
    <w:rsid w:val="004026A7"/>
    <w:rsid w:val="00402857"/>
    <w:rsid w:val="00402D9A"/>
    <w:rsid w:val="00402DE8"/>
    <w:rsid w:val="00402ECB"/>
    <w:rsid w:val="004031F6"/>
    <w:rsid w:val="0040324D"/>
    <w:rsid w:val="004034E3"/>
    <w:rsid w:val="0040353B"/>
    <w:rsid w:val="00403E5B"/>
    <w:rsid w:val="004043B1"/>
    <w:rsid w:val="00404B6F"/>
    <w:rsid w:val="00404B88"/>
    <w:rsid w:val="00404DBB"/>
    <w:rsid w:val="00404E5F"/>
    <w:rsid w:val="004051D8"/>
    <w:rsid w:val="00405A73"/>
    <w:rsid w:val="00405BB8"/>
    <w:rsid w:val="00405F1E"/>
    <w:rsid w:val="00406674"/>
    <w:rsid w:val="0040698A"/>
    <w:rsid w:val="00406A4E"/>
    <w:rsid w:val="00406A56"/>
    <w:rsid w:val="00406E5D"/>
    <w:rsid w:val="00406F91"/>
    <w:rsid w:val="00407028"/>
    <w:rsid w:val="00407056"/>
    <w:rsid w:val="00407135"/>
    <w:rsid w:val="0040793B"/>
    <w:rsid w:val="004112FD"/>
    <w:rsid w:val="004115F9"/>
    <w:rsid w:val="00411738"/>
    <w:rsid w:val="00411F86"/>
    <w:rsid w:val="00412430"/>
    <w:rsid w:val="004126AE"/>
    <w:rsid w:val="00412733"/>
    <w:rsid w:val="00412884"/>
    <w:rsid w:val="00412D85"/>
    <w:rsid w:val="00413075"/>
    <w:rsid w:val="0041351A"/>
    <w:rsid w:val="00413731"/>
    <w:rsid w:val="00413BD3"/>
    <w:rsid w:val="00414183"/>
    <w:rsid w:val="00414471"/>
    <w:rsid w:val="00414796"/>
    <w:rsid w:val="00414870"/>
    <w:rsid w:val="00414B9F"/>
    <w:rsid w:val="00414C8B"/>
    <w:rsid w:val="00414CEF"/>
    <w:rsid w:val="00415041"/>
    <w:rsid w:val="0041522C"/>
    <w:rsid w:val="00415395"/>
    <w:rsid w:val="00415865"/>
    <w:rsid w:val="00415C05"/>
    <w:rsid w:val="00415C52"/>
    <w:rsid w:val="00416119"/>
    <w:rsid w:val="004163B7"/>
    <w:rsid w:val="0041645F"/>
    <w:rsid w:val="004165A5"/>
    <w:rsid w:val="004165BC"/>
    <w:rsid w:val="00416C07"/>
    <w:rsid w:val="00416D7B"/>
    <w:rsid w:val="00417069"/>
    <w:rsid w:val="004172F5"/>
    <w:rsid w:val="004177D9"/>
    <w:rsid w:val="00417AD4"/>
    <w:rsid w:val="00417CBF"/>
    <w:rsid w:val="00417E91"/>
    <w:rsid w:val="00417FEE"/>
    <w:rsid w:val="00420C28"/>
    <w:rsid w:val="00420E17"/>
    <w:rsid w:val="00420EC9"/>
    <w:rsid w:val="00421095"/>
    <w:rsid w:val="00421536"/>
    <w:rsid w:val="00421754"/>
    <w:rsid w:val="00421B2C"/>
    <w:rsid w:val="00421CCB"/>
    <w:rsid w:val="004220FC"/>
    <w:rsid w:val="00422823"/>
    <w:rsid w:val="00422B43"/>
    <w:rsid w:val="00422BE1"/>
    <w:rsid w:val="00422C46"/>
    <w:rsid w:val="0042324D"/>
    <w:rsid w:val="00423538"/>
    <w:rsid w:val="004236FF"/>
    <w:rsid w:val="00423E3C"/>
    <w:rsid w:val="00423EDD"/>
    <w:rsid w:val="00423FFD"/>
    <w:rsid w:val="00424134"/>
    <w:rsid w:val="0042462C"/>
    <w:rsid w:val="00424ADC"/>
    <w:rsid w:val="00424AF6"/>
    <w:rsid w:val="00424B61"/>
    <w:rsid w:val="00424C1A"/>
    <w:rsid w:val="00424F99"/>
    <w:rsid w:val="00425567"/>
    <w:rsid w:val="00426394"/>
    <w:rsid w:val="0042659C"/>
    <w:rsid w:val="00426C5D"/>
    <w:rsid w:val="00426F8D"/>
    <w:rsid w:val="004270BF"/>
    <w:rsid w:val="004272A6"/>
    <w:rsid w:val="00427605"/>
    <w:rsid w:val="0042777E"/>
    <w:rsid w:val="00427ADF"/>
    <w:rsid w:val="00427CAF"/>
    <w:rsid w:val="00427F6B"/>
    <w:rsid w:val="00427FA4"/>
    <w:rsid w:val="0042E8CA"/>
    <w:rsid w:val="00430421"/>
    <w:rsid w:val="004305DD"/>
    <w:rsid w:val="004309E2"/>
    <w:rsid w:val="00430D31"/>
    <w:rsid w:val="0043101C"/>
    <w:rsid w:val="004313BD"/>
    <w:rsid w:val="004314C2"/>
    <w:rsid w:val="00431B21"/>
    <w:rsid w:val="00431BC0"/>
    <w:rsid w:val="00431BEB"/>
    <w:rsid w:val="00431E65"/>
    <w:rsid w:val="00432075"/>
    <w:rsid w:val="00432424"/>
    <w:rsid w:val="004324B0"/>
    <w:rsid w:val="00432E68"/>
    <w:rsid w:val="004330FD"/>
    <w:rsid w:val="00433121"/>
    <w:rsid w:val="004331F3"/>
    <w:rsid w:val="004337A4"/>
    <w:rsid w:val="00433947"/>
    <w:rsid w:val="00433988"/>
    <w:rsid w:val="00433A87"/>
    <w:rsid w:val="00433BF8"/>
    <w:rsid w:val="004341AD"/>
    <w:rsid w:val="004345B2"/>
    <w:rsid w:val="00434815"/>
    <w:rsid w:val="0043499B"/>
    <w:rsid w:val="004349B8"/>
    <w:rsid w:val="004352DB"/>
    <w:rsid w:val="00435CFD"/>
    <w:rsid w:val="00435E60"/>
    <w:rsid w:val="00435E63"/>
    <w:rsid w:val="004361A7"/>
    <w:rsid w:val="00436602"/>
    <w:rsid w:val="0043690E"/>
    <w:rsid w:val="0043692E"/>
    <w:rsid w:val="00436A2C"/>
    <w:rsid w:val="00436E40"/>
    <w:rsid w:val="00436FC0"/>
    <w:rsid w:val="004371E7"/>
    <w:rsid w:val="00437505"/>
    <w:rsid w:val="0043765A"/>
    <w:rsid w:val="0043770E"/>
    <w:rsid w:val="004377FE"/>
    <w:rsid w:val="0043780B"/>
    <w:rsid w:val="00437874"/>
    <w:rsid w:val="004379E7"/>
    <w:rsid w:val="00437AC3"/>
    <w:rsid w:val="00437DB3"/>
    <w:rsid w:val="00437F12"/>
    <w:rsid w:val="00437FD9"/>
    <w:rsid w:val="0044001D"/>
    <w:rsid w:val="004409BA"/>
    <w:rsid w:val="00440D8E"/>
    <w:rsid w:val="004413FD"/>
    <w:rsid w:val="00441700"/>
    <w:rsid w:val="00441AC9"/>
    <w:rsid w:val="00441DBE"/>
    <w:rsid w:val="00441FC1"/>
    <w:rsid w:val="00442084"/>
    <w:rsid w:val="004420D3"/>
    <w:rsid w:val="004423AE"/>
    <w:rsid w:val="004426C0"/>
    <w:rsid w:val="00442770"/>
    <w:rsid w:val="00442776"/>
    <w:rsid w:val="004427FC"/>
    <w:rsid w:val="00442A15"/>
    <w:rsid w:val="00443109"/>
    <w:rsid w:val="00443158"/>
    <w:rsid w:val="0044326F"/>
    <w:rsid w:val="00443286"/>
    <w:rsid w:val="00443373"/>
    <w:rsid w:val="00443522"/>
    <w:rsid w:val="004435AA"/>
    <w:rsid w:val="004436B9"/>
    <w:rsid w:val="00443B6E"/>
    <w:rsid w:val="00443B85"/>
    <w:rsid w:val="00443D70"/>
    <w:rsid w:val="00443E58"/>
    <w:rsid w:val="004440C2"/>
    <w:rsid w:val="004443A2"/>
    <w:rsid w:val="00444AAF"/>
    <w:rsid w:val="00444B28"/>
    <w:rsid w:val="00445914"/>
    <w:rsid w:val="0044598D"/>
    <w:rsid w:val="00446012"/>
    <w:rsid w:val="004461F2"/>
    <w:rsid w:val="00446644"/>
    <w:rsid w:val="004469AE"/>
    <w:rsid w:val="00446C0C"/>
    <w:rsid w:val="00446DB8"/>
    <w:rsid w:val="00447228"/>
    <w:rsid w:val="004472C2"/>
    <w:rsid w:val="004473DF"/>
    <w:rsid w:val="00447864"/>
    <w:rsid w:val="00447D3B"/>
    <w:rsid w:val="0045033E"/>
    <w:rsid w:val="00450358"/>
    <w:rsid w:val="004503B9"/>
    <w:rsid w:val="00450605"/>
    <w:rsid w:val="0045062E"/>
    <w:rsid w:val="00450948"/>
    <w:rsid w:val="00450BEF"/>
    <w:rsid w:val="00450C57"/>
    <w:rsid w:val="00450CFC"/>
    <w:rsid w:val="00450E57"/>
    <w:rsid w:val="00450F77"/>
    <w:rsid w:val="00451048"/>
    <w:rsid w:val="0045113A"/>
    <w:rsid w:val="00451925"/>
    <w:rsid w:val="00451D4D"/>
    <w:rsid w:val="00451DF0"/>
    <w:rsid w:val="004521B1"/>
    <w:rsid w:val="00452354"/>
    <w:rsid w:val="004523AA"/>
    <w:rsid w:val="004523B6"/>
    <w:rsid w:val="004525FA"/>
    <w:rsid w:val="00452E30"/>
    <w:rsid w:val="004539DD"/>
    <w:rsid w:val="00453CB4"/>
    <w:rsid w:val="00453CB6"/>
    <w:rsid w:val="004542B9"/>
    <w:rsid w:val="00454545"/>
    <w:rsid w:val="00454DCA"/>
    <w:rsid w:val="0045569D"/>
    <w:rsid w:val="00455966"/>
    <w:rsid w:val="00455A14"/>
    <w:rsid w:val="00455B99"/>
    <w:rsid w:val="00455BC2"/>
    <w:rsid w:val="00456547"/>
    <w:rsid w:val="004568EF"/>
    <w:rsid w:val="00457174"/>
    <w:rsid w:val="0045766A"/>
    <w:rsid w:val="00457886"/>
    <w:rsid w:val="00457AC3"/>
    <w:rsid w:val="00457F77"/>
    <w:rsid w:val="00460382"/>
    <w:rsid w:val="004604DB"/>
    <w:rsid w:val="00460643"/>
    <w:rsid w:val="004606CA"/>
    <w:rsid w:val="0046099A"/>
    <w:rsid w:val="00460BE6"/>
    <w:rsid w:val="00460DF1"/>
    <w:rsid w:val="00460E2B"/>
    <w:rsid w:val="00460EC0"/>
    <w:rsid w:val="00460F3A"/>
    <w:rsid w:val="00461474"/>
    <w:rsid w:val="0046193D"/>
    <w:rsid w:val="00461EE9"/>
    <w:rsid w:val="0046229D"/>
    <w:rsid w:val="0046298F"/>
    <w:rsid w:val="00462F70"/>
    <w:rsid w:val="00463234"/>
    <w:rsid w:val="00463398"/>
    <w:rsid w:val="004633A9"/>
    <w:rsid w:val="0046340C"/>
    <w:rsid w:val="00463D4A"/>
    <w:rsid w:val="004645E2"/>
    <w:rsid w:val="0046465A"/>
    <w:rsid w:val="00464BDB"/>
    <w:rsid w:val="00464D19"/>
    <w:rsid w:val="00464E3F"/>
    <w:rsid w:val="00464F9B"/>
    <w:rsid w:val="0046513F"/>
    <w:rsid w:val="00465156"/>
    <w:rsid w:val="004656AE"/>
    <w:rsid w:val="00465D61"/>
    <w:rsid w:val="00465DAF"/>
    <w:rsid w:val="00465EF0"/>
    <w:rsid w:val="00466095"/>
    <w:rsid w:val="00466A4B"/>
    <w:rsid w:val="00467132"/>
    <w:rsid w:val="004672A6"/>
    <w:rsid w:val="00467575"/>
    <w:rsid w:val="00467C65"/>
    <w:rsid w:val="0047018E"/>
    <w:rsid w:val="0047021F"/>
    <w:rsid w:val="004702DD"/>
    <w:rsid w:val="0047046E"/>
    <w:rsid w:val="0047097A"/>
    <w:rsid w:val="00471544"/>
    <w:rsid w:val="00471656"/>
    <w:rsid w:val="0047167C"/>
    <w:rsid w:val="00471B98"/>
    <w:rsid w:val="00471D6C"/>
    <w:rsid w:val="0047232F"/>
    <w:rsid w:val="00472584"/>
    <w:rsid w:val="00472A46"/>
    <w:rsid w:val="00472EC2"/>
    <w:rsid w:val="00473101"/>
    <w:rsid w:val="00473839"/>
    <w:rsid w:val="004738A5"/>
    <w:rsid w:val="0047395A"/>
    <w:rsid w:val="00473AD3"/>
    <w:rsid w:val="00473BE7"/>
    <w:rsid w:val="0047416B"/>
    <w:rsid w:val="004742A3"/>
    <w:rsid w:val="004750AD"/>
    <w:rsid w:val="00475808"/>
    <w:rsid w:val="00475955"/>
    <w:rsid w:val="0047599A"/>
    <w:rsid w:val="004759EC"/>
    <w:rsid w:val="004760FC"/>
    <w:rsid w:val="0047655F"/>
    <w:rsid w:val="004765B3"/>
    <w:rsid w:val="00476934"/>
    <w:rsid w:val="00476B8B"/>
    <w:rsid w:val="00476C3B"/>
    <w:rsid w:val="00476C89"/>
    <w:rsid w:val="00477064"/>
    <w:rsid w:val="004772DA"/>
    <w:rsid w:val="004776F7"/>
    <w:rsid w:val="00477755"/>
    <w:rsid w:val="00477CD2"/>
    <w:rsid w:val="00477ECF"/>
    <w:rsid w:val="00480126"/>
    <w:rsid w:val="0048075F"/>
    <w:rsid w:val="00480C0C"/>
    <w:rsid w:val="00480E4B"/>
    <w:rsid w:val="004813F4"/>
    <w:rsid w:val="004816C6"/>
    <w:rsid w:val="00481AEC"/>
    <w:rsid w:val="00482165"/>
    <w:rsid w:val="004822E4"/>
    <w:rsid w:val="004825E0"/>
    <w:rsid w:val="00482638"/>
    <w:rsid w:val="004827D6"/>
    <w:rsid w:val="0048281C"/>
    <w:rsid w:val="00482D72"/>
    <w:rsid w:val="00483000"/>
    <w:rsid w:val="00483433"/>
    <w:rsid w:val="00483849"/>
    <w:rsid w:val="00483988"/>
    <w:rsid w:val="00483AC3"/>
    <w:rsid w:val="004841D9"/>
    <w:rsid w:val="004844D4"/>
    <w:rsid w:val="004846A6"/>
    <w:rsid w:val="00484A11"/>
    <w:rsid w:val="00484A97"/>
    <w:rsid w:val="00484B58"/>
    <w:rsid w:val="00484E55"/>
    <w:rsid w:val="00485160"/>
    <w:rsid w:val="004853D6"/>
    <w:rsid w:val="00485448"/>
    <w:rsid w:val="0048567A"/>
    <w:rsid w:val="004856C8"/>
    <w:rsid w:val="00485DDA"/>
    <w:rsid w:val="00485FF0"/>
    <w:rsid w:val="004860A8"/>
    <w:rsid w:val="004863D9"/>
    <w:rsid w:val="004863DC"/>
    <w:rsid w:val="00486421"/>
    <w:rsid w:val="00486A65"/>
    <w:rsid w:val="00486AEA"/>
    <w:rsid w:val="00486F14"/>
    <w:rsid w:val="0048729B"/>
    <w:rsid w:val="004872EF"/>
    <w:rsid w:val="00487625"/>
    <w:rsid w:val="004876EA"/>
    <w:rsid w:val="004878E3"/>
    <w:rsid w:val="00487987"/>
    <w:rsid w:val="004879DD"/>
    <w:rsid w:val="00487AC2"/>
    <w:rsid w:val="00487AC3"/>
    <w:rsid w:val="00487CAF"/>
    <w:rsid w:val="00490158"/>
    <w:rsid w:val="00490185"/>
    <w:rsid w:val="0049041A"/>
    <w:rsid w:val="004906EA"/>
    <w:rsid w:val="0049091F"/>
    <w:rsid w:val="00490C6C"/>
    <w:rsid w:val="00490F9D"/>
    <w:rsid w:val="0049146C"/>
    <w:rsid w:val="00491596"/>
    <w:rsid w:val="00491ACE"/>
    <w:rsid w:val="00491CA7"/>
    <w:rsid w:val="00491DAD"/>
    <w:rsid w:val="00491F54"/>
    <w:rsid w:val="00492443"/>
    <w:rsid w:val="0049270E"/>
    <w:rsid w:val="00492724"/>
    <w:rsid w:val="00492B20"/>
    <w:rsid w:val="00492D54"/>
    <w:rsid w:val="00492E55"/>
    <w:rsid w:val="004933D7"/>
    <w:rsid w:val="00493400"/>
    <w:rsid w:val="004937CF"/>
    <w:rsid w:val="00493D5A"/>
    <w:rsid w:val="00494383"/>
    <w:rsid w:val="004944DC"/>
    <w:rsid w:val="00494984"/>
    <w:rsid w:val="00494B9A"/>
    <w:rsid w:val="00494EF2"/>
    <w:rsid w:val="00495531"/>
    <w:rsid w:val="00495742"/>
    <w:rsid w:val="004959C5"/>
    <w:rsid w:val="00495B09"/>
    <w:rsid w:val="00495CCC"/>
    <w:rsid w:val="00496078"/>
    <w:rsid w:val="004961C6"/>
    <w:rsid w:val="004961FD"/>
    <w:rsid w:val="004962A2"/>
    <w:rsid w:val="0049651D"/>
    <w:rsid w:val="00496559"/>
    <w:rsid w:val="00496574"/>
    <w:rsid w:val="0049657C"/>
    <w:rsid w:val="004968A2"/>
    <w:rsid w:val="00496A49"/>
    <w:rsid w:val="00496C54"/>
    <w:rsid w:val="00496C72"/>
    <w:rsid w:val="0049704D"/>
    <w:rsid w:val="004971F4"/>
    <w:rsid w:val="00497301"/>
    <w:rsid w:val="00497FA3"/>
    <w:rsid w:val="004A00A5"/>
    <w:rsid w:val="004A02A3"/>
    <w:rsid w:val="004A0517"/>
    <w:rsid w:val="004A0630"/>
    <w:rsid w:val="004A07EB"/>
    <w:rsid w:val="004A0F1F"/>
    <w:rsid w:val="004A12D1"/>
    <w:rsid w:val="004A1328"/>
    <w:rsid w:val="004A1D4A"/>
    <w:rsid w:val="004A1F18"/>
    <w:rsid w:val="004A1FA1"/>
    <w:rsid w:val="004A2326"/>
    <w:rsid w:val="004A23A3"/>
    <w:rsid w:val="004A26FF"/>
    <w:rsid w:val="004A296B"/>
    <w:rsid w:val="004A2CAB"/>
    <w:rsid w:val="004A3033"/>
    <w:rsid w:val="004A373B"/>
    <w:rsid w:val="004A3862"/>
    <w:rsid w:val="004A399F"/>
    <w:rsid w:val="004A3DE5"/>
    <w:rsid w:val="004A3F71"/>
    <w:rsid w:val="004A47CF"/>
    <w:rsid w:val="004A4A19"/>
    <w:rsid w:val="004A4BD1"/>
    <w:rsid w:val="004A4CC4"/>
    <w:rsid w:val="004A4CE4"/>
    <w:rsid w:val="004A53C6"/>
    <w:rsid w:val="004A5408"/>
    <w:rsid w:val="004A5463"/>
    <w:rsid w:val="004A547F"/>
    <w:rsid w:val="004A55E2"/>
    <w:rsid w:val="004A55F5"/>
    <w:rsid w:val="004A5CA4"/>
    <w:rsid w:val="004A6287"/>
    <w:rsid w:val="004A64CA"/>
    <w:rsid w:val="004A6A2E"/>
    <w:rsid w:val="004A6CF5"/>
    <w:rsid w:val="004A6F9A"/>
    <w:rsid w:val="004A7364"/>
    <w:rsid w:val="004A75F8"/>
    <w:rsid w:val="004A7945"/>
    <w:rsid w:val="004A7AA2"/>
    <w:rsid w:val="004A7BA4"/>
    <w:rsid w:val="004A7D30"/>
    <w:rsid w:val="004A7E76"/>
    <w:rsid w:val="004A7ED4"/>
    <w:rsid w:val="004B041E"/>
    <w:rsid w:val="004B0498"/>
    <w:rsid w:val="004B0A60"/>
    <w:rsid w:val="004B0A77"/>
    <w:rsid w:val="004B0F73"/>
    <w:rsid w:val="004B1017"/>
    <w:rsid w:val="004B10AB"/>
    <w:rsid w:val="004B1571"/>
    <w:rsid w:val="004B186D"/>
    <w:rsid w:val="004B193C"/>
    <w:rsid w:val="004B1AF9"/>
    <w:rsid w:val="004B1EF7"/>
    <w:rsid w:val="004B200C"/>
    <w:rsid w:val="004B2380"/>
    <w:rsid w:val="004B23B9"/>
    <w:rsid w:val="004B2884"/>
    <w:rsid w:val="004B2E07"/>
    <w:rsid w:val="004B30C2"/>
    <w:rsid w:val="004B32AF"/>
    <w:rsid w:val="004B336C"/>
    <w:rsid w:val="004B33D7"/>
    <w:rsid w:val="004B3B82"/>
    <w:rsid w:val="004B3D32"/>
    <w:rsid w:val="004B3E8D"/>
    <w:rsid w:val="004B3F32"/>
    <w:rsid w:val="004B4157"/>
    <w:rsid w:val="004B417D"/>
    <w:rsid w:val="004B4467"/>
    <w:rsid w:val="004B48F7"/>
    <w:rsid w:val="004B50CE"/>
    <w:rsid w:val="004B531A"/>
    <w:rsid w:val="004B59D5"/>
    <w:rsid w:val="004B5C8E"/>
    <w:rsid w:val="004B5CBF"/>
    <w:rsid w:val="004B60DA"/>
    <w:rsid w:val="004B645D"/>
    <w:rsid w:val="004B66CA"/>
    <w:rsid w:val="004B6A48"/>
    <w:rsid w:val="004B6D2B"/>
    <w:rsid w:val="004B6D56"/>
    <w:rsid w:val="004B70A6"/>
    <w:rsid w:val="004B7148"/>
    <w:rsid w:val="004B742F"/>
    <w:rsid w:val="004B7439"/>
    <w:rsid w:val="004B79CA"/>
    <w:rsid w:val="004B7A77"/>
    <w:rsid w:val="004B7A82"/>
    <w:rsid w:val="004B7BE5"/>
    <w:rsid w:val="004B7E6F"/>
    <w:rsid w:val="004B7FE7"/>
    <w:rsid w:val="004C0488"/>
    <w:rsid w:val="004C07A5"/>
    <w:rsid w:val="004C081F"/>
    <w:rsid w:val="004C0C98"/>
    <w:rsid w:val="004C0E31"/>
    <w:rsid w:val="004C170C"/>
    <w:rsid w:val="004C1C01"/>
    <w:rsid w:val="004C1DF5"/>
    <w:rsid w:val="004C2317"/>
    <w:rsid w:val="004C27F0"/>
    <w:rsid w:val="004C2CFC"/>
    <w:rsid w:val="004C2EBE"/>
    <w:rsid w:val="004C3BBC"/>
    <w:rsid w:val="004C3CEF"/>
    <w:rsid w:val="004C4145"/>
    <w:rsid w:val="004C41AB"/>
    <w:rsid w:val="004C41FC"/>
    <w:rsid w:val="004C45C3"/>
    <w:rsid w:val="004C45DF"/>
    <w:rsid w:val="004C4B8D"/>
    <w:rsid w:val="004C4C94"/>
    <w:rsid w:val="004C4DAE"/>
    <w:rsid w:val="004C4EEF"/>
    <w:rsid w:val="004C5050"/>
    <w:rsid w:val="004C50F3"/>
    <w:rsid w:val="004C55C8"/>
    <w:rsid w:val="004C5668"/>
    <w:rsid w:val="004C5736"/>
    <w:rsid w:val="004C5BF8"/>
    <w:rsid w:val="004C5D00"/>
    <w:rsid w:val="004C61AE"/>
    <w:rsid w:val="004C620B"/>
    <w:rsid w:val="004C660B"/>
    <w:rsid w:val="004C6764"/>
    <w:rsid w:val="004C70D7"/>
    <w:rsid w:val="004C778A"/>
    <w:rsid w:val="004C77B2"/>
    <w:rsid w:val="004C7914"/>
    <w:rsid w:val="004C7A6F"/>
    <w:rsid w:val="004C7BB7"/>
    <w:rsid w:val="004C7E04"/>
    <w:rsid w:val="004D0192"/>
    <w:rsid w:val="004D0327"/>
    <w:rsid w:val="004D0344"/>
    <w:rsid w:val="004D09B7"/>
    <w:rsid w:val="004D1239"/>
    <w:rsid w:val="004D138F"/>
    <w:rsid w:val="004D1689"/>
    <w:rsid w:val="004D1AC4"/>
    <w:rsid w:val="004D2154"/>
    <w:rsid w:val="004D2779"/>
    <w:rsid w:val="004D2AD9"/>
    <w:rsid w:val="004D2E10"/>
    <w:rsid w:val="004D2F9E"/>
    <w:rsid w:val="004D32E6"/>
    <w:rsid w:val="004D33E5"/>
    <w:rsid w:val="004D34ED"/>
    <w:rsid w:val="004D35FE"/>
    <w:rsid w:val="004D382E"/>
    <w:rsid w:val="004D3853"/>
    <w:rsid w:val="004D4334"/>
    <w:rsid w:val="004D436C"/>
    <w:rsid w:val="004D4380"/>
    <w:rsid w:val="004D468E"/>
    <w:rsid w:val="004D4CC8"/>
    <w:rsid w:val="004D4CE3"/>
    <w:rsid w:val="004D518E"/>
    <w:rsid w:val="004D5376"/>
    <w:rsid w:val="004D5831"/>
    <w:rsid w:val="004D5CC9"/>
    <w:rsid w:val="004D6091"/>
    <w:rsid w:val="004D60EA"/>
    <w:rsid w:val="004D6364"/>
    <w:rsid w:val="004D63EA"/>
    <w:rsid w:val="004D641C"/>
    <w:rsid w:val="004D67D0"/>
    <w:rsid w:val="004D686D"/>
    <w:rsid w:val="004D7086"/>
    <w:rsid w:val="004D76CD"/>
    <w:rsid w:val="004D7DE4"/>
    <w:rsid w:val="004D7E1A"/>
    <w:rsid w:val="004D7ECB"/>
    <w:rsid w:val="004E03EF"/>
    <w:rsid w:val="004E041F"/>
    <w:rsid w:val="004E0780"/>
    <w:rsid w:val="004E0B24"/>
    <w:rsid w:val="004E0C28"/>
    <w:rsid w:val="004E10D9"/>
    <w:rsid w:val="004E122B"/>
    <w:rsid w:val="004E13E6"/>
    <w:rsid w:val="004E15FA"/>
    <w:rsid w:val="004E1859"/>
    <w:rsid w:val="004E187D"/>
    <w:rsid w:val="004E1A40"/>
    <w:rsid w:val="004E1B86"/>
    <w:rsid w:val="004E1BB9"/>
    <w:rsid w:val="004E1E1A"/>
    <w:rsid w:val="004E1E59"/>
    <w:rsid w:val="004E20C9"/>
    <w:rsid w:val="004E2405"/>
    <w:rsid w:val="004E283C"/>
    <w:rsid w:val="004E3440"/>
    <w:rsid w:val="004E3629"/>
    <w:rsid w:val="004E378D"/>
    <w:rsid w:val="004E3BB7"/>
    <w:rsid w:val="004E3FB8"/>
    <w:rsid w:val="004E40BD"/>
    <w:rsid w:val="004E4358"/>
    <w:rsid w:val="004E49F6"/>
    <w:rsid w:val="004E4A41"/>
    <w:rsid w:val="004E4A63"/>
    <w:rsid w:val="004E4C47"/>
    <w:rsid w:val="004E569B"/>
    <w:rsid w:val="004E5772"/>
    <w:rsid w:val="004E5A5C"/>
    <w:rsid w:val="004E6166"/>
    <w:rsid w:val="004E63CF"/>
    <w:rsid w:val="004E6568"/>
    <w:rsid w:val="004E69CE"/>
    <w:rsid w:val="004E6C39"/>
    <w:rsid w:val="004E6D9F"/>
    <w:rsid w:val="004E7466"/>
    <w:rsid w:val="004E74D9"/>
    <w:rsid w:val="004E7632"/>
    <w:rsid w:val="004E7EB9"/>
    <w:rsid w:val="004F0000"/>
    <w:rsid w:val="004F03B0"/>
    <w:rsid w:val="004F0488"/>
    <w:rsid w:val="004F0593"/>
    <w:rsid w:val="004F0712"/>
    <w:rsid w:val="004F1463"/>
    <w:rsid w:val="004F160A"/>
    <w:rsid w:val="004F16EA"/>
    <w:rsid w:val="004F1A8D"/>
    <w:rsid w:val="004F1DCA"/>
    <w:rsid w:val="004F209D"/>
    <w:rsid w:val="004F220D"/>
    <w:rsid w:val="004F2224"/>
    <w:rsid w:val="004F23E4"/>
    <w:rsid w:val="004F37C3"/>
    <w:rsid w:val="004F3C27"/>
    <w:rsid w:val="004F3C69"/>
    <w:rsid w:val="004F3E48"/>
    <w:rsid w:val="004F3EFA"/>
    <w:rsid w:val="004F3FB7"/>
    <w:rsid w:val="004F4131"/>
    <w:rsid w:val="004F429E"/>
    <w:rsid w:val="004F4829"/>
    <w:rsid w:val="004F4EF2"/>
    <w:rsid w:val="004F500F"/>
    <w:rsid w:val="004F5728"/>
    <w:rsid w:val="004F5B81"/>
    <w:rsid w:val="004F5C0A"/>
    <w:rsid w:val="004F5F58"/>
    <w:rsid w:val="004F5F5F"/>
    <w:rsid w:val="004F69E2"/>
    <w:rsid w:val="004F6E59"/>
    <w:rsid w:val="004F6FFA"/>
    <w:rsid w:val="005000C5"/>
    <w:rsid w:val="005004BB"/>
    <w:rsid w:val="005004DE"/>
    <w:rsid w:val="00500901"/>
    <w:rsid w:val="00500944"/>
    <w:rsid w:val="00500A07"/>
    <w:rsid w:val="00501023"/>
    <w:rsid w:val="005016B3"/>
    <w:rsid w:val="00501E10"/>
    <w:rsid w:val="00501E2C"/>
    <w:rsid w:val="005020D9"/>
    <w:rsid w:val="0050221A"/>
    <w:rsid w:val="0050239E"/>
    <w:rsid w:val="005024B9"/>
    <w:rsid w:val="005030C6"/>
    <w:rsid w:val="0050318B"/>
    <w:rsid w:val="00503B5F"/>
    <w:rsid w:val="00503BD1"/>
    <w:rsid w:val="00503DAA"/>
    <w:rsid w:val="00504388"/>
    <w:rsid w:val="005046DE"/>
    <w:rsid w:val="00504C05"/>
    <w:rsid w:val="00505120"/>
    <w:rsid w:val="005052A8"/>
    <w:rsid w:val="00505593"/>
    <w:rsid w:val="005058CD"/>
    <w:rsid w:val="00505AC7"/>
    <w:rsid w:val="00506290"/>
    <w:rsid w:val="005063E2"/>
    <w:rsid w:val="005067C3"/>
    <w:rsid w:val="005068D0"/>
    <w:rsid w:val="00506917"/>
    <w:rsid w:val="00506C07"/>
    <w:rsid w:val="00506E01"/>
    <w:rsid w:val="00506F2D"/>
    <w:rsid w:val="005073B8"/>
    <w:rsid w:val="0050746D"/>
    <w:rsid w:val="00507D86"/>
    <w:rsid w:val="00510348"/>
    <w:rsid w:val="00510492"/>
    <w:rsid w:val="0051054A"/>
    <w:rsid w:val="005105D5"/>
    <w:rsid w:val="0051080D"/>
    <w:rsid w:val="00510AEC"/>
    <w:rsid w:val="00511490"/>
    <w:rsid w:val="005114E9"/>
    <w:rsid w:val="00511839"/>
    <w:rsid w:val="00511A49"/>
    <w:rsid w:val="00511C2F"/>
    <w:rsid w:val="00511D5F"/>
    <w:rsid w:val="00511D95"/>
    <w:rsid w:val="00511F6A"/>
    <w:rsid w:val="00511F80"/>
    <w:rsid w:val="005120AB"/>
    <w:rsid w:val="00512798"/>
    <w:rsid w:val="00512AA8"/>
    <w:rsid w:val="00512E58"/>
    <w:rsid w:val="005132EB"/>
    <w:rsid w:val="005134B9"/>
    <w:rsid w:val="00513D35"/>
    <w:rsid w:val="0051402D"/>
    <w:rsid w:val="005145A4"/>
    <w:rsid w:val="005146FE"/>
    <w:rsid w:val="0051487D"/>
    <w:rsid w:val="00514AF4"/>
    <w:rsid w:val="00514BB6"/>
    <w:rsid w:val="00514EE6"/>
    <w:rsid w:val="0051557F"/>
    <w:rsid w:val="00515887"/>
    <w:rsid w:val="00515973"/>
    <w:rsid w:val="00515B8A"/>
    <w:rsid w:val="00515FF8"/>
    <w:rsid w:val="00516161"/>
    <w:rsid w:val="00516305"/>
    <w:rsid w:val="00516791"/>
    <w:rsid w:val="00516D60"/>
    <w:rsid w:val="005170EC"/>
    <w:rsid w:val="00517316"/>
    <w:rsid w:val="00517754"/>
    <w:rsid w:val="005177E4"/>
    <w:rsid w:val="00520217"/>
    <w:rsid w:val="005204A4"/>
    <w:rsid w:val="005204FB"/>
    <w:rsid w:val="005209DC"/>
    <w:rsid w:val="00520AC3"/>
    <w:rsid w:val="0052110D"/>
    <w:rsid w:val="0052121F"/>
    <w:rsid w:val="005213FB"/>
    <w:rsid w:val="005216B8"/>
    <w:rsid w:val="0052191D"/>
    <w:rsid w:val="00521F18"/>
    <w:rsid w:val="00522049"/>
    <w:rsid w:val="00522504"/>
    <w:rsid w:val="00522672"/>
    <w:rsid w:val="0052268A"/>
    <w:rsid w:val="00522C7B"/>
    <w:rsid w:val="00522D88"/>
    <w:rsid w:val="00522FD0"/>
    <w:rsid w:val="00523147"/>
    <w:rsid w:val="0052318B"/>
    <w:rsid w:val="00523279"/>
    <w:rsid w:val="0052354B"/>
    <w:rsid w:val="00523BB9"/>
    <w:rsid w:val="00524216"/>
    <w:rsid w:val="00524AEE"/>
    <w:rsid w:val="00524B38"/>
    <w:rsid w:val="00524D7B"/>
    <w:rsid w:val="00524E98"/>
    <w:rsid w:val="00524F24"/>
    <w:rsid w:val="0052501F"/>
    <w:rsid w:val="005251BB"/>
    <w:rsid w:val="0052559F"/>
    <w:rsid w:val="005258A9"/>
    <w:rsid w:val="00525952"/>
    <w:rsid w:val="00525A31"/>
    <w:rsid w:val="00525D36"/>
    <w:rsid w:val="00526139"/>
    <w:rsid w:val="00526377"/>
    <w:rsid w:val="005263A5"/>
    <w:rsid w:val="00526892"/>
    <w:rsid w:val="00526A02"/>
    <w:rsid w:val="00526D27"/>
    <w:rsid w:val="00526FC4"/>
    <w:rsid w:val="005271F4"/>
    <w:rsid w:val="00527349"/>
    <w:rsid w:val="0052784D"/>
    <w:rsid w:val="00527B54"/>
    <w:rsid w:val="00527D1F"/>
    <w:rsid w:val="00527DED"/>
    <w:rsid w:val="00530459"/>
    <w:rsid w:val="005305B6"/>
    <w:rsid w:val="00530B48"/>
    <w:rsid w:val="00530F55"/>
    <w:rsid w:val="005314B1"/>
    <w:rsid w:val="00531799"/>
    <w:rsid w:val="00531B82"/>
    <w:rsid w:val="005322A9"/>
    <w:rsid w:val="00532522"/>
    <w:rsid w:val="00532617"/>
    <w:rsid w:val="0053265D"/>
    <w:rsid w:val="005326AE"/>
    <w:rsid w:val="005328F2"/>
    <w:rsid w:val="00532948"/>
    <w:rsid w:val="00532974"/>
    <w:rsid w:val="00532D30"/>
    <w:rsid w:val="00532E8F"/>
    <w:rsid w:val="00532F7D"/>
    <w:rsid w:val="00533445"/>
    <w:rsid w:val="00533C34"/>
    <w:rsid w:val="00533F50"/>
    <w:rsid w:val="00534803"/>
    <w:rsid w:val="00534839"/>
    <w:rsid w:val="00534F52"/>
    <w:rsid w:val="00534F59"/>
    <w:rsid w:val="00535099"/>
    <w:rsid w:val="005354EB"/>
    <w:rsid w:val="00535AB9"/>
    <w:rsid w:val="00535AF0"/>
    <w:rsid w:val="00536077"/>
    <w:rsid w:val="00536562"/>
    <w:rsid w:val="00536680"/>
    <w:rsid w:val="005367F2"/>
    <w:rsid w:val="00536936"/>
    <w:rsid w:val="00536C66"/>
    <w:rsid w:val="00536E69"/>
    <w:rsid w:val="00537190"/>
    <w:rsid w:val="0053725F"/>
    <w:rsid w:val="00537460"/>
    <w:rsid w:val="005375A2"/>
    <w:rsid w:val="005376A7"/>
    <w:rsid w:val="005378B5"/>
    <w:rsid w:val="00537DFF"/>
    <w:rsid w:val="0054030D"/>
    <w:rsid w:val="00540605"/>
    <w:rsid w:val="00540735"/>
    <w:rsid w:val="00540C21"/>
    <w:rsid w:val="00540DB2"/>
    <w:rsid w:val="0054123F"/>
    <w:rsid w:val="0054131E"/>
    <w:rsid w:val="00541455"/>
    <w:rsid w:val="0054153F"/>
    <w:rsid w:val="005416B6"/>
    <w:rsid w:val="0054174D"/>
    <w:rsid w:val="00541818"/>
    <w:rsid w:val="00541BAF"/>
    <w:rsid w:val="00542091"/>
    <w:rsid w:val="0054264A"/>
    <w:rsid w:val="00542E5B"/>
    <w:rsid w:val="00543259"/>
    <w:rsid w:val="0054329F"/>
    <w:rsid w:val="005437CE"/>
    <w:rsid w:val="005438E5"/>
    <w:rsid w:val="00543CE1"/>
    <w:rsid w:val="00544162"/>
    <w:rsid w:val="00544165"/>
    <w:rsid w:val="00544442"/>
    <w:rsid w:val="00544797"/>
    <w:rsid w:val="005449B7"/>
    <w:rsid w:val="00544AEA"/>
    <w:rsid w:val="00544B41"/>
    <w:rsid w:val="00544DF4"/>
    <w:rsid w:val="005453EE"/>
    <w:rsid w:val="00545E3E"/>
    <w:rsid w:val="0054614B"/>
    <w:rsid w:val="0054616C"/>
    <w:rsid w:val="005462D2"/>
    <w:rsid w:val="005469AB"/>
    <w:rsid w:val="00546D09"/>
    <w:rsid w:val="00546D75"/>
    <w:rsid w:val="005471D6"/>
    <w:rsid w:val="00547844"/>
    <w:rsid w:val="0054785D"/>
    <w:rsid w:val="00547A4E"/>
    <w:rsid w:val="00550181"/>
    <w:rsid w:val="00550356"/>
    <w:rsid w:val="00550378"/>
    <w:rsid w:val="0055064B"/>
    <w:rsid w:val="0055067A"/>
    <w:rsid w:val="005507D7"/>
    <w:rsid w:val="00550A2B"/>
    <w:rsid w:val="00550B85"/>
    <w:rsid w:val="00550C26"/>
    <w:rsid w:val="00550FDC"/>
    <w:rsid w:val="005515D7"/>
    <w:rsid w:val="005516EC"/>
    <w:rsid w:val="00551FC8"/>
    <w:rsid w:val="00552116"/>
    <w:rsid w:val="00552281"/>
    <w:rsid w:val="005527FC"/>
    <w:rsid w:val="00552845"/>
    <w:rsid w:val="00552880"/>
    <w:rsid w:val="00552CA7"/>
    <w:rsid w:val="00552F17"/>
    <w:rsid w:val="00553116"/>
    <w:rsid w:val="005531B1"/>
    <w:rsid w:val="00553A2C"/>
    <w:rsid w:val="00553D22"/>
    <w:rsid w:val="00553E55"/>
    <w:rsid w:val="00554E3F"/>
    <w:rsid w:val="00554EE6"/>
    <w:rsid w:val="0055541D"/>
    <w:rsid w:val="005554CF"/>
    <w:rsid w:val="005554F1"/>
    <w:rsid w:val="00555654"/>
    <w:rsid w:val="00555675"/>
    <w:rsid w:val="00555915"/>
    <w:rsid w:val="00555EA4"/>
    <w:rsid w:val="0055605C"/>
    <w:rsid w:val="00556678"/>
    <w:rsid w:val="00556CC5"/>
    <w:rsid w:val="00556E83"/>
    <w:rsid w:val="00557010"/>
    <w:rsid w:val="005570E8"/>
    <w:rsid w:val="0055773D"/>
    <w:rsid w:val="0055785E"/>
    <w:rsid w:val="00557A7B"/>
    <w:rsid w:val="00557DB4"/>
    <w:rsid w:val="00560843"/>
    <w:rsid w:val="005608AC"/>
    <w:rsid w:val="00560A0F"/>
    <w:rsid w:val="00560A1A"/>
    <w:rsid w:val="00560AE0"/>
    <w:rsid w:val="005610D6"/>
    <w:rsid w:val="005613F6"/>
    <w:rsid w:val="0056181D"/>
    <w:rsid w:val="00561A19"/>
    <w:rsid w:val="00561CD6"/>
    <w:rsid w:val="00561CE5"/>
    <w:rsid w:val="00561E0A"/>
    <w:rsid w:val="00561FAD"/>
    <w:rsid w:val="00562812"/>
    <w:rsid w:val="00562DF9"/>
    <w:rsid w:val="00562FF7"/>
    <w:rsid w:val="005630D8"/>
    <w:rsid w:val="00563178"/>
    <w:rsid w:val="00563193"/>
    <w:rsid w:val="005637B5"/>
    <w:rsid w:val="00563980"/>
    <w:rsid w:val="00563B5D"/>
    <w:rsid w:val="00563CB5"/>
    <w:rsid w:val="00563D81"/>
    <w:rsid w:val="00564060"/>
    <w:rsid w:val="00564555"/>
    <w:rsid w:val="0056485C"/>
    <w:rsid w:val="00564D93"/>
    <w:rsid w:val="00564DC8"/>
    <w:rsid w:val="00564E90"/>
    <w:rsid w:val="00564EA3"/>
    <w:rsid w:val="00565013"/>
    <w:rsid w:val="0056550E"/>
    <w:rsid w:val="0056560D"/>
    <w:rsid w:val="00565C58"/>
    <w:rsid w:val="00565C5D"/>
    <w:rsid w:val="005665F9"/>
    <w:rsid w:val="005668D0"/>
    <w:rsid w:val="00566ADB"/>
    <w:rsid w:val="00567036"/>
    <w:rsid w:val="005673D1"/>
    <w:rsid w:val="005677C3"/>
    <w:rsid w:val="00567DDB"/>
    <w:rsid w:val="00567F11"/>
    <w:rsid w:val="00567F7B"/>
    <w:rsid w:val="005702F1"/>
    <w:rsid w:val="005705BB"/>
    <w:rsid w:val="00570995"/>
    <w:rsid w:val="005712D0"/>
    <w:rsid w:val="0057134A"/>
    <w:rsid w:val="005715E3"/>
    <w:rsid w:val="00571AEC"/>
    <w:rsid w:val="00571E5F"/>
    <w:rsid w:val="0057205E"/>
    <w:rsid w:val="0057212C"/>
    <w:rsid w:val="00572343"/>
    <w:rsid w:val="00572851"/>
    <w:rsid w:val="00572E83"/>
    <w:rsid w:val="00573009"/>
    <w:rsid w:val="00573632"/>
    <w:rsid w:val="00573796"/>
    <w:rsid w:val="00573A25"/>
    <w:rsid w:val="00573B51"/>
    <w:rsid w:val="00573C53"/>
    <w:rsid w:val="00573FEB"/>
    <w:rsid w:val="00574BD4"/>
    <w:rsid w:val="00574D5D"/>
    <w:rsid w:val="00574D8D"/>
    <w:rsid w:val="00574E19"/>
    <w:rsid w:val="00574E2E"/>
    <w:rsid w:val="005754AC"/>
    <w:rsid w:val="005754C0"/>
    <w:rsid w:val="0057554B"/>
    <w:rsid w:val="0057595B"/>
    <w:rsid w:val="00575A43"/>
    <w:rsid w:val="00575AD5"/>
    <w:rsid w:val="00575D0F"/>
    <w:rsid w:val="00576451"/>
    <w:rsid w:val="0057661A"/>
    <w:rsid w:val="005766E5"/>
    <w:rsid w:val="0057682B"/>
    <w:rsid w:val="00576E34"/>
    <w:rsid w:val="00576EB1"/>
    <w:rsid w:val="005774CC"/>
    <w:rsid w:val="00577712"/>
    <w:rsid w:val="005777B2"/>
    <w:rsid w:val="00577CEF"/>
    <w:rsid w:val="00577D77"/>
    <w:rsid w:val="00580056"/>
    <w:rsid w:val="0058015B"/>
    <w:rsid w:val="00580185"/>
    <w:rsid w:val="00580764"/>
    <w:rsid w:val="0058079A"/>
    <w:rsid w:val="005807F6"/>
    <w:rsid w:val="005809FC"/>
    <w:rsid w:val="005812C8"/>
    <w:rsid w:val="005814FA"/>
    <w:rsid w:val="005816A8"/>
    <w:rsid w:val="00581ED6"/>
    <w:rsid w:val="005825CE"/>
    <w:rsid w:val="005825F8"/>
    <w:rsid w:val="005829EB"/>
    <w:rsid w:val="00582C18"/>
    <w:rsid w:val="00583D26"/>
    <w:rsid w:val="00583F72"/>
    <w:rsid w:val="00583FC4"/>
    <w:rsid w:val="005843F4"/>
    <w:rsid w:val="00584A3F"/>
    <w:rsid w:val="00584B97"/>
    <w:rsid w:val="00584DAD"/>
    <w:rsid w:val="00585074"/>
    <w:rsid w:val="00585734"/>
    <w:rsid w:val="00585811"/>
    <w:rsid w:val="00585CEF"/>
    <w:rsid w:val="00585EFA"/>
    <w:rsid w:val="0058633E"/>
    <w:rsid w:val="005864BC"/>
    <w:rsid w:val="00586522"/>
    <w:rsid w:val="00586AD4"/>
    <w:rsid w:val="00586C4B"/>
    <w:rsid w:val="00586F15"/>
    <w:rsid w:val="00587014"/>
    <w:rsid w:val="00587471"/>
    <w:rsid w:val="0058760C"/>
    <w:rsid w:val="00587C53"/>
    <w:rsid w:val="00587E32"/>
    <w:rsid w:val="00587E7F"/>
    <w:rsid w:val="00587EEC"/>
    <w:rsid w:val="00587F53"/>
    <w:rsid w:val="005902EA"/>
    <w:rsid w:val="00590BEC"/>
    <w:rsid w:val="00590FA2"/>
    <w:rsid w:val="005912A7"/>
    <w:rsid w:val="005912C0"/>
    <w:rsid w:val="0059159F"/>
    <w:rsid w:val="00591AE1"/>
    <w:rsid w:val="00591B02"/>
    <w:rsid w:val="00591DBE"/>
    <w:rsid w:val="00591F9A"/>
    <w:rsid w:val="00591FD4"/>
    <w:rsid w:val="00592159"/>
    <w:rsid w:val="005923B7"/>
    <w:rsid w:val="00592542"/>
    <w:rsid w:val="005926E6"/>
    <w:rsid w:val="005929E6"/>
    <w:rsid w:val="00592DF7"/>
    <w:rsid w:val="00592FF7"/>
    <w:rsid w:val="005937F0"/>
    <w:rsid w:val="0059384D"/>
    <w:rsid w:val="00594209"/>
    <w:rsid w:val="00594687"/>
    <w:rsid w:val="00594F6A"/>
    <w:rsid w:val="005951D4"/>
    <w:rsid w:val="00595205"/>
    <w:rsid w:val="00595621"/>
    <w:rsid w:val="00595953"/>
    <w:rsid w:val="00595B6C"/>
    <w:rsid w:val="00595DFD"/>
    <w:rsid w:val="00596005"/>
    <w:rsid w:val="005961AD"/>
    <w:rsid w:val="005964EE"/>
    <w:rsid w:val="00596876"/>
    <w:rsid w:val="005977DA"/>
    <w:rsid w:val="0059799A"/>
    <w:rsid w:val="00597D00"/>
    <w:rsid w:val="005A03DE"/>
    <w:rsid w:val="005A104B"/>
    <w:rsid w:val="005A1434"/>
    <w:rsid w:val="005A1532"/>
    <w:rsid w:val="005A1D49"/>
    <w:rsid w:val="005A1E06"/>
    <w:rsid w:val="005A1F63"/>
    <w:rsid w:val="005A1FD1"/>
    <w:rsid w:val="005A2814"/>
    <w:rsid w:val="005A2955"/>
    <w:rsid w:val="005A29C5"/>
    <w:rsid w:val="005A2B03"/>
    <w:rsid w:val="005A2FB2"/>
    <w:rsid w:val="005A3184"/>
    <w:rsid w:val="005A34DF"/>
    <w:rsid w:val="005A39DF"/>
    <w:rsid w:val="005A3A09"/>
    <w:rsid w:val="005A3BC8"/>
    <w:rsid w:val="005A3CAC"/>
    <w:rsid w:val="005A4125"/>
    <w:rsid w:val="005A4403"/>
    <w:rsid w:val="005A45B8"/>
    <w:rsid w:val="005A4906"/>
    <w:rsid w:val="005A4FE7"/>
    <w:rsid w:val="005A50F3"/>
    <w:rsid w:val="005A544C"/>
    <w:rsid w:val="005A5453"/>
    <w:rsid w:val="005A5501"/>
    <w:rsid w:val="005A5679"/>
    <w:rsid w:val="005A58CD"/>
    <w:rsid w:val="005A59C9"/>
    <w:rsid w:val="005A59CD"/>
    <w:rsid w:val="005A5B03"/>
    <w:rsid w:val="005A5CDB"/>
    <w:rsid w:val="005A5F22"/>
    <w:rsid w:val="005A60BC"/>
    <w:rsid w:val="005A65FD"/>
    <w:rsid w:val="005A661A"/>
    <w:rsid w:val="005A6DAD"/>
    <w:rsid w:val="005A7209"/>
    <w:rsid w:val="005A73EB"/>
    <w:rsid w:val="005A73FA"/>
    <w:rsid w:val="005A74E7"/>
    <w:rsid w:val="005A775B"/>
    <w:rsid w:val="005A7827"/>
    <w:rsid w:val="005A7C60"/>
    <w:rsid w:val="005B0802"/>
    <w:rsid w:val="005B09DF"/>
    <w:rsid w:val="005B109D"/>
    <w:rsid w:val="005B13B1"/>
    <w:rsid w:val="005B144A"/>
    <w:rsid w:val="005B2046"/>
    <w:rsid w:val="005B238C"/>
    <w:rsid w:val="005B24E8"/>
    <w:rsid w:val="005B25BC"/>
    <w:rsid w:val="005B26FE"/>
    <w:rsid w:val="005B2A1D"/>
    <w:rsid w:val="005B2BC4"/>
    <w:rsid w:val="005B2D04"/>
    <w:rsid w:val="005B2FCE"/>
    <w:rsid w:val="005B3124"/>
    <w:rsid w:val="005B3DBE"/>
    <w:rsid w:val="005B3E2A"/>
    <w:rsid w:val="005B3F7E"/>
    <w:rsid w:val="005B436E"/>
    <w:rsid w:val="005B4602"/>
    <w:rsid w:val="005B5224"/>
    <w:rsid w:val="005B53F0"/>
    <w:rsid w:val="005B58FA"/>
    <w:rsid w:val="005B5941"/>
    <w:rsid w:val="005B5B0C"/>
    <w:rsid w:val="005B5BFE"/>
    <w:rsid w:val="005B5C3F"/>
    <w:rsid w:val="005B5C6A"/>
    <w:rsid w:val="005B5EAC"/>
    <w:rsid w:val="005B60D0"/>
    <w:rsid w:val="005B6422"/>
    <w:rsid w:val="005B649F"/>
    <w:rsid w:val="005B64D2"/>
    <w:rsid w:val="005B6721"/>
    <w:rsid w:val="005B6856"/>
    <w:rsid w:val="005B6896"/>
    <w:rsid w:val="005B6EC2"/>
    <w:rsid w:val="005B72F5"/>
    <w:rsid w:val="005B743D"/>
    <w:rsid w:val="005B74B9"/>
    <w:rsid w:val="005B76DA"/>
    <w:rsid w:val="005C05AF"/>
    <w:rsid w:val="005C08A2"/>
    <w:rsid w:val="005C0B5E"/>
    <w:rsid w:val="005C0C60"/>
    <w:rsid w:val="005C0CF4"/>
    <w:rsid w:val="005C0DCB"/>
    <w:rsid w:val="005C0F74"/>
    <w:rsid w:val="005C1108"/>
    <w:rsid w:val="005C128E"/>
    <w:rsid w:val="005C13D3"/>
    <w:rsid w:val="005C14C3"/>
    <w:rsid w:val="005C1533"/>
    <w:rsid w:val="005C1897"/>
    <w:rsid w:val="005C1A89"/>
    <w:rsid w:val="005C1DD1"/>
    <w:rsid w:val="005C29DA"/>
    <w:rsid w:val="005C2A2C"/>
    <w:rsid w:val="005C309B"/>
    <w:rsid w:val="005C329F"/>
    <w:rsid w:val="005C3438"/>
    <w:rsid w:val="005C3564"/>
    <w:rsid w:val="005C3729"/>
    <w:rsid w:val="005C37C2"/>
    <w:rsid w:val="005C3C2B"/>
    <w:rsid w:val="005C408B"/>
    <w:rsid w:val="005C4351"/>
    <w:rsid w:val="005C46F2"/>
    <w:rsid w:val="005C4A17"/>
    <w:rsid w:val="005C4B89"/>
    <w:rsid w:val="005C5173"/>
    <w:rsid w:val="005C531F"/>
    <w:rsid w:val="005C55E3"/>
    <w:rsid w:val="005C628D"/>
    <w:rsid w:val="005C64F5"/>
    <w:rsid w:val="005C68FD"/>
    <w:rsid w:val="005C6BF2"/>
    <w:rsid w:val="005C7321"/>
    <w:rsid w:val="005C73B8"/>
    <w:rsid w:val="005C7A27"/>
    <w:rsid w:val="005C7D3C"/>
    <w:rsid w:val="005D01FD"/>
    <w:rsid w:val="005D0745"/>
    <w:rsid w:val="005D087F"/>
    <w:rsid w:val="005D089A"/>
    <w:rsid w:val="005D09BA"/>
    <w:rsid w:val="005D0AE9"/>
    <w:rsid w:val="005D0CCD"/>
    <w:rsid w:val="005D0D07"/>
    <w:rsid w:val="005D0FA6"/>
    <w:rsid w:val="005D1002"/>
    <w:rsid w:val="005D1163"/>
    <w:rsid w:val="005D1519"/>
    <w:rsid w:val="005D16FE"/>
    <w:rsid w:val="005D17EC"/>
    <w:rsid w:val="005D1C38"/>
    <w:rsid w:val="005D1D51"/>
    <w:rsid w:val="005D1E11"/>
    <w:rsid w:val="005D1E17"/>
    <w:rsid w:val="005D1E72"/>
    <w:rsid w:val="005D22C7"/>
    <w:rsid w:val="005D2672"/>
    <w:rsid w:val="005D2FDB"/>
    <w:rsid w:val="005D31B2"/>
    <w:rsid w:val="005D342D"/>
    <w:rsid w:val="005D3B8D"/>
    <w:rsid w:val="005D3D9E"/>
    <w:rsid w:val="005D3E40"/>
    <w:rsid w:val="005D4397"/>
    <w:rsid w:val="005D4743"/>
    <w:rsid w:val="005D4DB6"/>
    <w:rsid w:val="005D506F"/>
    <w:rsid w:val="005D50E4"/>
    <w:rsid w:val="005D5118"/>
    <w:rsid w:val="005D551C"/>
    <w:rsid w:val="005D565A"/>
    <w:rsid w:val="005D5928"/>
    <w:rsid w:val="005D63DF"/>
    <w:rsid w:val="005D64E5"/>
    <w:rsid w:val="005D67AE"/>
    <w:rsid w:val="005D6895"/>
    <w:rsid w:val="005D6A70"/>
    <w:rsid w:val="005D77D8"/>
    <w:rsid w:val="005D7E25"/>
    <w:rsid w:val="005D7E4F"/>
    <w:rsid w:val="005D7F19"/>
    <w:rsid w:val="005D7F20"/>
    <w:rsid w:val="005E0201"/>
    <w:rsid w:val="005E0475"/>
    <w:rsid w:val="005E0488"/>
    <w:rsid w:val="005E0752"/>
    <w:rsid w:val="005E0973"/>
    <w:rsid w:val="005E0AA5"/>
    <w:rsid w:val="005E0FCA"/>
    <w:rsid w:val="005E1517"/>
    <w:rsid w:val="005E1535"/>
    <w:rsid w:val="005E160C"/>
    <w:rsid w:val="005E1643"/>
    <w:rsid w:val="005E1762"/>
    <w:rsid w:val="005E20D5"/>
    <w:rsid w:val="005E231C"/>
    <w:rsid w:val="005E2353"/>
    <w:rsid w:val="005E23C3"/>
    <w:rsid w:val="005E2596"/>
    <w:rsid w:val="005E2711"/>
    <w:rsid w:val="005E2959"/>
    <w:rsid w:val="005E2D0C"/>
    <w:rsid w:val="005E30C4"/>
    <w:rsid w:val="005E3A23"/>
    <w:rsid w:val="005E3CB9"/>
    <w:rsid w:val="005E3EBA"/>
    <w:rsid w:val="005E4021"/>
    <w:rsid w:val="005E48D9"/>
    <w:rsid w:val="005E491C"/>
    <w:rsid w:val="005E4E4C"/>
    <w:rsid w:val="005E50FF"/>
    <w:rsid w:val="005E519B"/>
    <w:rsid w:val="005E59AF"/>
    <w:rsid w:val="005E5AA2"/>
    <w:rsid w:val="005E5C52"/>
    <w:rsid w:val="005E5F13"/>
    <w:rsid w:val="005E6487"/>
    <w:rsid w:val="005E676A"/>
    <w:rsid w:val="005E6788"/>
    <w:rsid w:val="005E67CE"/>
    <w:rsid w:val="005E6D7E"/>
    <w:rsid w:val="005E6E59"/>
    <w:rsid w:val="005E6FA1"/>
    <w:rsid w:val="005E6FFE"/>
    <w:rsid w:val="005E71A8"/>
    <w:rsid w:val="005E7B48"/>
    <w:rsid w:val="005E7C92"/>
    <w:rsid w:val="005E7E33"/>
    <w:rsid w:val="005F011C"/>
    <w:rsid w:val="005F0147"/>
    <w:rsid w:val="005F0551"/>
    <w:rsid w:val="005F1870"/>
    <w:rsid w:val="005F1C03"/>
    <w:rsid w:val="005F2287"/>
    <w:rsid w:val="005F2327"/>
    <w:rsid w:val="005F23F1"/>
    <w:rsid w:val="005F24C1"/>
    <w:rsid w:val="005F28DF"/>
    <w:rsid w:val="005F2D1A"/>
    <w:rsid w:val="005F31CC"/>
    <w:rsid w:val="005F3321"/>
    <w:rsid w:val="005F334C"/>
    <w:rsid w:val="005F3A8A"/>
    <w:rsid w:val="005F3AA4"/>
    <w:rsid w:val="005F3BA5"/>
    <w:rsid w:val="005F3CCE"/>
    <w:rsid w:val="005F3D37"/>
    <w:rsid w:val="005F3D75"/>
    <w:rsid w:val="005F3F6B"/>
    <w:rsid w:val="005F402F"/>
    <w:rsid w:val="005F418B"/>
    <w:rsid w:val="005F45ED"/>
    <w:rsid w:val="005F466B"/>
    <w:rsid w:val="005F49A6"/>
    <w:rsid w:val="005F4BE4"/>
    <w:rsid w:val="005F4F1E"/>
    <w:rsid w:val="005F5398"/>
    <w:rsid w:val="005F542E"/>
    <w:rsid w:val="005F5753"/>
    <w:rsid w:val="005F57EC"/>
    <w:rsid w:val="005F580C"/>
    <w:rsid w:val="005F582F"/>
    <w:rsid w:val="005F586E"/>
    <w:rsid w:val="005F5BBA"/>
    <w:rsid w:val="005F5C2D"/>
    <w:rsid w:val="005F5C5E"/>
    <w:rsid w:val="005F5D7A"/>
    <w:rsid w:val="005F6079"/>
    <w:rsid w:val="005F64F0"/>
    <w:rsid w:val="005F66E6"/>
    <w:rsid w:val="005F6768"/>
    <w:rsid w:val="005F69F1"/>
    <w:rsid w:val="005F6A8C"/>
    <w:rsid w:val="005F6C05"/>
    <w:rsid w:val="005F708B"/>
    <w:rsid w:val="005F7438"/>
    <w:rsid w:val="005F77AA"/>
    <w:rsid w:val="005F78AC"/>
    <w:rsid w:val="005F7BD4"/>
    <w:rsid w:val="005F7DFF"/>
    <w:rsid w:val="00600168"/>
    <w:rsid w:val="00600252"/>
    <w:rsid w:val="00600917"/>
    <w:rsid w:val="00600927"/>
    <w:rsid w:val="00600CC2"/>
    <w:rsid w:val="00601296"/>
    <w:rsid w:val="0060131C"/>
    <w:rsid w:val="00601BF4"/>
    <w:rsid w:val="006021EB"/>
    <w:rsid w:val="00602245"/>
    <w:rsid w:val="00602455"/>
    <w:rsid w:val="006024F1"/>
    <w:rsid w:val="00602654"/>
    <w:rsid w:val="006028ED"/>
    <w:rsid w:val="006029B5"/>
    <w:rsid w:val="00602C17"/>
    <w:rsid w:val="00602C4A"/>
    <w:rsid w:val="00602D3A"/>
    <w:rsid w:val="00602D53"/>
    <w:rsid w:val="00602EA3"/>
    <w:rsid w:val="0060311B"/>
    <w:rsid w:val="00603197"/>
    <w:rsid w:val="00603253"/>
    <w:rsid w:val="006032B3"/>
    <w:rsid w:val="006033D5"/>
    <w:rsid w:val="00603494"/>
    <w:rsid w:val="00603507"/>
    <w:rsid w:val="00603737"/>
    <w:rsid w:val="0060381F"/>
    <w:rsid w:val="00603BBE"/>
    <w:rsid w:val="006042DD"/>
    <w:rsid w:val="00604364"/>
    <w:rsid w:val="006048EE"/>
    <w:rsid w:val="00604ABF"/>
    <w:rsid w:val="00604B99"/>
    <w:rsid w:val="006053DB"/>
    <w:rsid w:val="0060549C"/>
    <w:rsid w:val="0060554A"/>
    <w:rsid w:val="00605B1C"/>
    <w:rsid w:val="00605BB9"/>
    <w:rsid w:val="00605BDF"/>
    <w:rsid w:val="00605F2C"/>
    <w:rsid w:val="00605FD0"/>
    <w:rsid w:val="006066F1"/>
    <w:rsid w:val="00606A04"/>
    <w:rsid w:val="00606D35"/>
    <w:rsid w:val="0060722B"/>
    <w:rsid w:val="00607497"/>
    <w:rsid w:val="006074BC"/>
    <w:rsid w:val="006075CD"/>
    <w:rsid w:val="00607764"/>
    <w:rsid w:val="006079E6"/>
    <w:rsid w:val="00607AB3"/>
    <w:rsid w:val="00607D5B"/>
    <w:rsid w:val="006100F9"/>
    <w:rsid w:val="00610C38"/>
    <w:rsid w:val="00610CE6"/>
    <w:rsid w:val="00610FF0"/>
    <w:rsid w:val="0061112D"/>
    <w:rsid w:val="00611314"/>
    <w:rsid w:val="006115E7"/>
    <w:rsid w:val="0061161E"/>
    <w:rsid w:val="00611BE1"/>
    <w:rsid w:val="0061200C"/>
    <w:rsid w:val="00612031"/>
    <w:rsid w:val="00612105"/>
    <w:rsid w:val="006121AA"/>
    <w:rsid w:val="0061228C"/>
    <w:rsid w:val="006125F9"/>
    <w:rsid w:val="0061266F"/>
    <w:rsid w:val="00612A17"/>
    <w:rsid w:val="00612B38"/>
    <w:rsid w:val="00612C6D"/>
    <w:rsid w:val="00612D43"/>
    <w:rsid w:val="00612DA2"/>
    <w:rsid w:val="00612DEC"/>
    <w:rsid w:val="00613786"/>
    <w:rsid w:val="00613C6B"/>
    <w:rsid w:val="00613D59"/>
    <w:rsid w:val="00614827"/>
    <w:rsid w:val="006148B5"/>
    <w:rsid w:val="00614969"/>
    <w:rsid w:val="00614DA3"/>
    <w:rsid w:val="00614F6A"/>
    <w:rsid w:val="00614F86"/>
    <w:rsid w:val="006152D6"/>
    <w:rsid w:val="00615412"/>
    <w:rsid w:val="00615540"/>
    <w:rsid w:val="006161A0"/>
    <w:rsid w:val="00616809"/>
    <w:rsid w:val="0061689A"/>
    <w:rsid w:val="006169C7"/>
    <w:rsid w:val="00616A04"/>
    <w:rsid w:val="00616DFD"/>
    <w:rsid w:val="00616E1B"/>
    <w:rsid w:val="00616EFA"/>
    <w:rsid w:val="00617281"/>
    <w:rsid w:val="006173AB"/>
    <w:rsid w:val="00617471"/>
    <w:rsid w:val="00617806"/>
    <w:rsid w:val="00617887"/>
    <w:rsid w:val="00617B90"/>
    <w:rsid w:val="006200B7"/>
    <w:rsid w:val="0062017A"/>
    <w:rsid w:val="006201BF"/>
    <w:rsid w:val="0062067C"/>
    <w:rsid w:val="0062070E"/>
    <w:rsid w:val="00620CD7"/>
    <w:rsid w:val="006212F7"/>
    <w:rsid w:val="00621425"/>
    <w:rsid w:val="00621F65"/>
    <w:rsid w:val="00622177"/>
    <w:rsid w:val="006224E3"/>
    <w:rsid w:val="00622BA1"/>
    <w:rsid w:val="00622CB0"/>
    <w:rsid w:val="00622EE0"/>
    <w:rsid w:val="00622EE4"/>
    <w:rsid w:val="0062323E"/>
    <w:rsid w:val="00623597"/>
    <w:rsid w:val="00623796"/>
    <w:rsid w:val="006237AE"/>
    <w:rsid w:val="00623832"/>
    <w:rsid w:val="00623EDA"/>
    <w:rsid w:val="006242AC"/>
    <w:rsid w:val="00624337"/>
    <w:rsid w:val="00624A70"/>
    <w:rsid w:val="006253D2"/>
    <w:rsid w:val="006257AA"/>
    <w:rsid w:val="006258F0"/>
    <w:rsid w:val="00625919"/>
    <w:rsid w:val="006259D6"/>
    <w:rsid w:val="00625CC7"/>
    <w:rsid w:val="00626345"/>
    <w:rsid w:val="0062684A"/>
    <w:rsid w:val="00626AF7"/>
    <w:rsid w:val="00626D86"/>
    <w:rsid w:val="0062709F"/>
    <w:rsid w:val="0062760D"/>
    <w:rsid w:val="00627623"/>
    <w:rsid w:val="0062778E"/>
    <w:rsid w:val="00627AA0"/>
    <w:rsid w:val="00627CF4"/>
    <w:rsid w:val="00627D5F"/>
    <w:rsid w:val="00627DD0"/>
    <w:rsid w:val="00627E46"/>
    <w:rsid w:val="006300E1"/>
    <w:rsid w:val="0063026D"/>
    <w:rsid w:val="0063033A"/>
    <w:rsid w:val="006306AC"/>
    <w:rsid w:val="00630854"/>
    <w:rsid w:val="006308AC"/>
    <w:rsid w:val="00630A45"/>
    <w:rsid w:val="00630F31"/>
    <w:rsid w:val="006312E0"/>
    <w:rsid w:val="006313A1"/>
    <w:rsid w:val="006313A6"/>
    <w:rsid w:val="00631762"/>
    <w:rsid w:val="006317A6"/>
    <w:rsid w:val="0063192A"/>
    <w:rsid w:val="006319B1"/>
    <w:rsid w:val="00631DFE"/>
    <w:rsid w:val="00632256"/>
    <w:rsid w:val="00633230"/>
    <w:rsid w:val="0063333A"/>
    <w:rsid w:val="00633576"/>
    <w:rsid w:val="00633916"/>
    <w:rsid w:val="00633F99"/>
    <w:rsid w:val="006344B1"/>
    <w:rsid w:val="0063493F"/>
    <w:rsid w:val="00634F28"/>
    <w:rsid w:val="006350AB"/>
    <w:rsid w:val="00635862"/>
    <w:rsid w:val="006359CF"/>
    <w:rsid w:val="006359DA"/>
    <w:rsid w:val="00635A80"/>
    <w:rsid w:val="00635D50"/>
    <w:rsid w:val="00635F5D"/>
    <w:rsid w:val="0063646B"/>
    <w:rsid w:val="00636ABF"/>
    <w:rsid w:val="00636CF9"/>
    <w:rsid w:val="00636E07"/>
    <w:rsid w:val="00637288"/>
    <w:rsid w:val="006374AF"/>
    <w:rsid w:val="00637518"/>
    <w:rsid w:val="006379C5"/>
    <w:rsid w:val="00637C02"/>
    <w:rsid w:val="00637C4E"/>
    <w:rsid w:val="00637D17"/>
    <w:rsid w:val="00637D53"/>
    <w:rsid w:val="00637D57"/>
    <w:rsid w:val="00637DCB"/>
    <w:rsid w:val="006407F1"/>
    <w:rsid w:val="00640947"/>
    <w:rsid w:val="006412AC"/>
    <w:rsid w:val="0064159E"/>
    <w:rsid w:val="00641CDC"/>
    <w:rsid w:val="006428B1"/>
    <w:rsid w:val="0064298E"/>
    <w:rsid w:val="00642BAE"/>
    <w:rsid w:val="00642BE7"/>
    <w:rsid w:val="00643264"/>
    <w:rsid w:val="006433E2"/>
    <w:rsid w:val="006434E3"/>
    <w:rsid w:val="00643748"/>
    <w:rsid w:val="00643852"/>
    <w:rsid w:val="0064389E"/>
    <w:rsid w:val="00643912"/>
    <w:rsid w:val="00643AC3"/>
    <w:rsid w:val="00643AC6"/>
    <w:rsid w:val="006440DF"/>
    <w:rsid w:val="00644297"/>
    <w:rsid w:val="006442C2"/>
    <w:rsid w:val="00644613"/>
    <w:rsid w:val="00644A38"/>
    <w:rsid w:val="00644A77"/>
    <w:rsid w:val="006452A2"/>
    <w:rsid w:val="00645CE9"/>
    <w:rsid w:val="00646449"/>
    <w:rsid w:val="00646925"/>
    <w:rsid w:val="00646CC0"/>
    <w:rsid w:val="00646CDF"/>
    <w:rsid w:val="00647335"/>
    <w:rsid w:val="006474F6"/>
    <w:rsid w:val="00647C75"/>
    <w:rsid w:val="006501EF"/>
    <w:rsid w:val="0065027B"/>
    <w:rsid w:val="0065093A"/>
    <w:rsid w:val="0065108C"/>
    <w:rsid w:val="006513DC"/>
    <w:rsid w:val="00651651"/>
    <w:rsid w:val="00651C73"/>
    <w:rsid w:val="00651E51"/>
    <w:rsid w:val="00651F06"/>
    <w:rsid w:val="00652038"/>
    <w:rsid w:val="00652060"/>
    <w:rsid w:val="00652501"/>
    <w:rsid w:val="006526FA"/>
    <w:rsid w:val="006528C3"/>
    <w:rsid w:val="00652B04"/>
    <w:rsid w:val="00652DCD"/>
    <w:rsid w:val="00652E8A"/>
    <w:rsid w:val="00653006"/>
    <w:rsid w:val="00653364"/>
    <w:rsid w:val="00653546"/>
    <w:rsid w:val="0065372C"/>
    <w:rsid w:val="00653CD1"/>
    <w:rsid w:val="0065413C"/>
    <w:rsid w:val="0065419C"/>
    <w:rsid w:val="00654604"/>
    <w:rsid w:val="00654776"/>
    <w:rsid w:val="006548BA"/>
    <w:rsid w:val="00654B41"/>
    <w:rsid w:val="00654CD7"/>
    <w:rsid w:val="00655570"/>
    <w:rsid w:val="006557AB"/>
    <w:rsid w:val="00655D88"/>
    <w:rsid w:val="006560FF"/>
    <w:rsid w:val="00656280"/>
    <w:rsid w:val="00656673"/>
    <w:rsid w:val="00656B5D"/>
    <w:rsid w:val="00656BEB"/>
    <w:rsid w:val="00656D1A"/>
    <w:rsid w:val="0065701B"/>
    <w:rsid w:val="006572D5"/>
    <w:rsid w:val="00657883"/>
    <w:rsid w:val="00657AB1"/>
    <w:rsid w:val="00657CEF"/>
    <w:rsid w:val="00657CF1"/>
    <w:rsid w:val="00657F78"/>
    <w:rsid w:val="00660175"/>
    <w:rsid w:val="00660197"/>
    <w:rsid w:val="00660613"/>
    <w:rsid w:val="006608F6"/>
    <w:rsid w:val="00660957"/>
    <w:rsid w:val="00660E97"/>
    <w:rsid w:val="0066116E"/>
    <w:rsid w:val="006615B9"/>
    <w:rsid w:val="006616D9"/>
    <w:rsid w:val="006622B2"/>
    <w:rsid w:val="006622BA"/>
    <w:rsid w:val="006623EE"/>
    <w:rsid w:val="006624CA"/>
    <w:rsid w:val="00662B89"/>
    <w:rsid w:val="00662DE6"/>
    <w:rsid w:val="00662FE8"/>
    <w:rsid w:val="00663014"/>
    <w:rsid w:val="006631D8"/>
    <w:rsid w:val="00663ADE"/>
    <w:rsid w:val="00663D85"/>
    <w:rsid w:val="00664153"/>
    <w:rsid w:val="006643BC"/>
    <w:rsid w:val="00664B1A"/>
    <w:rsid w:val="00665231"/>
    <w:rsid w:val="0066583C"/>
    <w:rsid w:val="006658AB"/>
    <w:rsid w:val="00665D05"/>
    <w:rsid w:val="00665DFC"/>
    <w:rsid w:val="00666160"/>
    <w:rsid w:val="0066660D"/>
    <w:rsid w:val="00666975"/>
    <w:rsid w:val="00666DA0"/>
    <w:rsid w:val="00666E6C"/>
    <w:rsid w:val="0066713B"/>
    <w:rsid w:val="006678AA"/>
    <w:rsid w:val="00667B5E"/>
    <w:rsid w:val="00667D7C"/>
    <w:rsid w:val="0067043D"/>
    <w:rsid w:val="006705A0"/>
    <w:rsid w:val="00670724"/>
    <w:rsid w:val="006708CB"/>
    <w:rsid w:val="0067096E"/>
    <w:rsid w:val="00670A42"/>
    <w:rsid w:val="00670AD7"/>
    <w:rsid w:val="00670B95"/>
    <w:rsid w:val="00670BB1"/>
    <w:rsid w:val="00670D60"/>
    <w:rsid w:val="00670EBD"/>
    <w:rsid w:val="00671176"/>
    <w:rsid w:val="0067134C"/>
    <w:rsid w:val="0067193C"/>
    <w:rsid w:val="00671B37"/>
    <w:rsid w:val="00672735"/>
    <w:rsid w:val="00672854"/>
    <w:rsid w:val="0067288A"/>
    <w:rsid w:val="00672933"/>
    <w:rsid w:val="00672CC8"/>
    <w:rsid w:val="00672FB2"/>
    <w:rsid w:val="006736FA"/>
    <w:rsid w:val="0067391E"/>
    <w:rsid w:val="00673E29"/>
    <w:rsid w:val="00673F94"/>
    <w:rsid w:val="006744B1"/>
    <w:rsid w:val="00674786"/>
    <w:rsid w:val="00674C88"/>
    <w:rsid w:val="00674E9C"/>
    <w:rsid w:val="00675089"/>
    <w:rsid w:val="006752A5"/>
    <w:rsid w:val="0067553F"/>
    <w:rsid w:val="00675583"/>
    <w:rsid w:val="006758C7"/>
    <w:rsid w:val="006759E2"/>
    <w:rsid w:val="00676237"/>
    <w:rsid w:val="006762FB"/>
    <w:rsid w:val="00676404"/>
    <w:rsid w:val="0067674F"/>
    <w:rsid w:val="00676917"/>
    <w:rsid w:val="00676CAB"/>
    <w:rsid w:val="00676F6A"/>
    <w:rsid w:val="00677353"/>
    <w:rsid w:val="006773D3"/>
    <w:rsid w:val="00677584"/>
    <w:rsid w:val="0067778E"/>
    <w:rsid w:val="006779AB"/>
    <w:rsid w:val="0068002A"/>
    <w:rsid w:val="0068011A"/>
    <w:rsid w:val="00680792"/>
    <w:rsid w:val="0068109A"/>
    <w:rsid w:val="00681163"/>
    <w:rsid w:val="006813BB"/>
    <w:rsid w:val="0068146F"/>
    <w:rsid w:val="006817FC"/>
    <w:rsid w:val="006818F0"/>
    <w:rsid w:val="00681CE4"/>
    <w:rsid w:val="00682569"/>
    <w:rsid w:val="006825D7"/>
    <w:rsid w:val="00682A6A"/>
    <w:rsid w:val="00682BB9"/>
    <w:rsid w:val="00683426"/>
    <w:rsid w:val="00683447"/>
    <w:rsid w:val="006836DD"/>
    <w:rsid w:val="00683CC7"/>
    <w:rsid w:val="006841F1"/>
    <w:rsid w:val="00684280"/>
    <w:rsid w:val="0068429C"/>
    <w:rsid w:val="00684593"/>
    <w:rsid w:val="00684A70"/>
    <w:rsid w:val="0068594D"/>
    <w:rsid w:val="00685C28"/>
    <w:rsid w:val="00685D9B"/>
    <w:rsid w:val="00685FD4"/>
    <w:rsid w:val="006860E0"/>
    <w:rsid w:val="006862CD"/>
    <w:rsid w:val="00686665"/>
    <w:rsid w:val="006866FA"/>
    <w:rsid w:val="006868AE"/>
    <w:rsid w:val="00686B16"/>
    <w:rsid w:val="00686B3E"/>
    <w:rsid w:val="00686E74"/>
    <w:rsid w:val="0068701D"/>
    <w:rsid w:val="00687B3E"/>
    <w:rsid w:val="0069012F"/>
    <w:rsid w:val="00690197"/>
    <w:rsid w:val="006904A8"/>
    <w:rsid w:val="006904D2"/>
    <w:rsid w:val="0069078C"/>
    <w:rsid w:val="00690892"/>
    <w:rsid w:val="00690A79"/>
    <w:rsid w:val="00690A97"/>
    <w:rsid w:val="00690B0C"/>
    <w:rsid w:val="00690B6A"/>
    <w:rsid w:val="00690D76"/>
    <w:rsid w:val="00691069"/>
    <w:rsid w:val="00691B81"/>
    <w:rsid w:val="00691DA6"/>
    <w:rsid w:val="00691ECD"/>
    <w:rsid w:val="00692965"/>
    <w:rsid w:val="00692DA0"/>
    <w:rsid w:val="00692DA4"/>
    <w:rsid w:val="00692E3B"/>
    <w:rsid w:val="00693024"/>
    <w:rsid w:val="00693211"/>
    <w:rsid w:val="006932C7"/>
    <w:rsid w:val="006935B6"/>
    <w:rsid w:val="0069371F"/>
    <w:rsid w:val="0069375A"/>
    <w:rsid w:val="00693B19"/>
    <w:rsid w:val="00694DDF"/>
    <w:rsid w:val="00695866"/>
    <w:rsid w:val="0069590B"/>
    <w:rsid w:val="00695C8A"/>
    <w:rsid w:val="00695F55"/>
    <w:rsid w:val="0069614A"/>
    <w:rsid w:val="00696239"/>
    <w:rsid w:val="0069651D"/>
    <w:rsid w:val="006966FB"/>
    <w:rsid w:val="006968CA"/>
    <w:rsid w:val="00696902"/>
    <w:rsid w:val="00696CEA"/>
    <w:rsid w:val="00697B75"/>
    <w:rsid w:val="00697C72"/>
    <w:rsid w:val="006A0529"/>
    <w:rsid w:val="006A0638"/>
    <w:rsid w:val="006A081C"/>
    <w:rsid w:val="006A0D15"/>
    <w:rsid w:val="006A104F"/>
    <w:rsid w:val="006A1394"/>
    <w:rsid w:val="006A198A"/>
    <w:rsid w:val="006A1B4D"/>
    <w:rsid w:val="006A1B5A"/>
    <w:rsid w:val="006A2093"/>
    <w:rsid w:val="006A2564"/>
    <w:rsid w:val="006A2859"/>
    <w:rsid w:val="006A28D0"/>
    <w:rsid w:val="006A2A68"/>
    <w:rsid w:val="006A2D41"/>
    <w:rsid w:val="006A32A3"/>
    <w:rsid w:val="006A32E1"/>
    <w:rsid w:val="006A3970"/>
    <w:rsid w:val="006A3A7A"/>
    <w:rsid w:val="006A407D"/>
    <w:rsid w:val="006A4080"/>
    <w:rsid w:val="006A40D6"/>
    <w:rsid w:val="006A44F1"/>
    <w:rsid w:val="006A5605"/>
    <w:rsid w:val="006A5863"/>
    <w:rsid w:val="006A5972"/>
    <w:rsid w:val="006A5C1D"/>
    <w:rsid w:val="006A5CF5"/>
    <w:rsid w:val="006A5CF7"/>
    <w:rsid w:val="006A5E6D"/>
    <w:rsid w:val="006A6756"/>
    <w:rsid w:val="006A675C"/>
    <w:rsid w:val="006A6824"/>
    <w:rsid w:val="006A6C24"/>
    <w:rsid w:val="006A6D46"/>
    <w:rsid w:val="006A6E96"/>
    <w:rsid w:val="006A71F3"/>
    <w:rsid w:val="006A72B0"/>
    <w:rsid w:val="006A72C1"/>
    <w:rsid w:val="006A7675"/>
    <w:rsid w:val="006A77C1"/>
    <w:rsid w:val="006A7D19"/>
    <w:rsid w:val="006A7F88"/>
    <w:rsid w:val="006B011A"/>
    <w:rsid w:val="006B03F0"/>
    <w:rsid w:val="006B048D"/>
    <w:rsid w:val="006B0612"/>
    <w:rsid w:val="006B07BA"/>
    <w:rsid w:val="006B086A"/>
    <w:rsid w:val="006B08F7"/>
    <w:rsid w:val="006B0B69"/>
    <w:rsid w:val="006B0E4C"/>
    <w:rsid w:val="006B1374"/>
    <w:rsid w:val="006B1493"/>
    <w:rsid w:val="006B1BBA"/>
    <w:rsid w:val="006B1D6C"/>
    <w:rsid w:val="006B1EA2"/>
    <w:rsid w:val="006B203A"/>
    <w:rsid w:val="006B2312"/>
    <w:rsid w:val="006B2556"/>
    <w:rsid w:val="006B2659"/>
    <w:rsid w:val="006B27EC"/>
    <w:rsid w:val="006B28D2"/>
    <w:rsid w:val="006B293F"/>
    <w:rsid w:val="006B29A0"/>
    <w:rsid w:val="006B2D6D"/>
    <w:rsid w:val="006B3026"/>
    <w:rsid w:val="006B30AC"/>
    <w:rsid w:val="006B3651"/>
    <w:rsid w:val="006B36D0"/>
    <w:rsid w:val="006B3759"/>
    <w:rsid w:val="006B3820"/>
    <w:rsid w:val="006B3827"/>
    <w:rsid w:val="006B3C83"/>
    <w:rsid w:val="006B3C99"/>
    <w:rsid w:val="006B3C9C"/>
    <w:rsid w:val="006B3E8F"/>
    <w:rsid w:val="006B424F"/>
    <w:rsid w:val="006B42C3"/>
    <w:rsid w:val="006B4379"/>
    <w:rsid w:val="006B44D2"/>
    <w:rsid w:val="006B49B9"/>
    <w:rsid w:val="006B4BBD"/>
    <w:rsid w:val="006B578F"/>
    <w:rsid w:val="006B59C2"/>
    <w:rsid w:val="006B5A9A"/>
    <w:rsid w:val="006B613A"/>
    <w:rsid w:val="006B6217"/>
    <w:rsid w:val="006B66D9"/>
    <w:rsid w:val="006B6823"/>
    <w:rsid w:val="006B6D00"/>
    <w:rsid w:val="006B75F2"/>
    <w:rsid w:val="006B78F1"/>
    <w:rsid w:val="006C0133"/>
    <w:rsid w:val="006C0612"/>
    <w:rsid w:val="006C0764"/>
    <w:rsid w:val="006C0932"/>
    <w:rsid w:val="006C0B1D"/>
    <w:rsid w:val="006C0B39"/>
    <w:rsid w:val="006C0BDC"/>
    <w:rsid w:val="006C19E9"/>
    <w:rsid w:val="006C1B95"/>
    <w:rsid w:val="006C1E71"/>
    <w:rsid w:val="006C1FA0"/>
    <w:rsid w:val="006C207F"/>
    <w:rsid w:val="006C244D"/>
    <w:rsid w:val="006C24F8"/>
    <w:rsid w:val="006C2563"/>
    <w:rsid w:val="006C25F5"/>
    <w:rsid w:val="006C29AC"/>
    <w:rsid w:val="006C2B2F"/>
    <w:rsid w:val="006C2B51"/>
    <w:rsid w:val="006C306B"/>
    <w:rsid w:val="006C3082"/>
    <w:rsid w:val="006C32A9"/>
    <w:rsid w:val="006C3507"/>
    <w:rsid w:val="006C3561"/>
    <w:rsid w:val="006C3AA6"/>
    <w:rsid w:val="006C3BC1"/>
    <w:rsid w:val="006C447F"/>
    <w:rsid w:val="006C4AD6"/>
    <w:rsid w:val="006C4BD3"/>
    <w:rsid w:val="006C4DE7"/>
    <w:rsid w:val="006C520A"/>
    <w:rsid w:val="006C5296"/>
    <w:rsid w:val="006C53A1"/>
    <w:rsid w:val="006C5CDE"/>
    <w:rsid w:val="006C6244"/>
    <w:rsid w:val="006C637A"/>
    <w:rsid w:val="006C67D8"/>
    <w:rsid w:val="006C67EF"/>
    <w:rsid w:val="006C6DD8"/>
    <w:rsid w:val="006C6E8D"/>
    <w:rsid w:val="006C73EC"/>
    <w:rsid w:val="006C7B5F"/>
    <w:rsid w:val="006C7C0B"/>
    <w:rsid w:val="006C7C77"/>
    <w:rsid w:val="006C7F7D"/>
    <w:rsid w:val="006D0004"/>
    <w:rsid w:val="006D0202"/>
    <w:rsid w:val="006D0270"/>
    <w:rsid w:val="006D03C1"/>
    <w:rsid w:val="006D0748"/>
    <w:rsid w:val="006D0916"/>
    <w:rsid w:val="006D094E"/>
    <w:rsid w:val="006D096D"/>
    <w:rsid w:val="006D0BFB"/>
    <w:rsid w:val="006D0C07"/>
    <w:rsid w:val="006D0C65"/>
    <w:rsid w:val="006D0DA5"/>
    <w:rsid w:val="006D122D"/>
    <w:rsid w:val="006D12B7"/>
    <w:rsid w:val="006D14ED"/>
    <w:rsid w:val="006D190B"/>
    <w:rsid w:val="006D1E64"/>
    <w:rsid w:val="006D2309"/>
    <w:rsid w:val="006D2400"/>
    <w:rsid w:val="006D252E"/>
    <w:rsid w:val="006D25F8"/>
    <w:rsid w:val="006D2615"/>
    <w:rsid w:val="006D317C"/>
    <w:rsid w:val="006D3207"/>
    <w:rsid w:val="006D3A8E"/>
    <w:rsid w:val="006D3B63"/>
    <w:rsid w:val="006D4554"/>
    <w:rsid w:val="006D4D41"/>
    <w:rsid w:val="006D529F"/>
    <w:rsid w:val="006D5449"/>
    <w:rsid w:val="006D589A"/>
    <w:rsid w:val="006D598F"/>
    <w:rsid w:val="006D5A28"/>
    <w:rsid w:val="006D6646"/>
    <w:rsid w:val="006D6DB8"/>
    <w:rsid w:val="006D6DBE"/>
    <w:rsid w:val="006D73EB"/>
    <w:rsid w:val="006D7402"/>
    <w:rsid w:val="006D7805"/>
    <w:rsid w:val="006D7A3A"/>
    <w:rsid w:val="006E01B3"/>
    <w:rsid w:val="006E046F"/>
    <w:rsid w:val="006E0A87"/>
    <w:rsid w:val="006E0C17"/>
    <w:rsid w:val="006E0C43"/>
    <w:rsid w:val="006E0C8D"/>
    <w:rsid w:val="006E0DA4"/>
    <w:rsid w:val="006E0E97"/>
    <w:rsid w:val="006E0FD9"/>
    <w:rsid w:val="006E1081"/>
    <w:rsid w:val="006E11B4"/>
    <w:rsid w:val="006E13DB"/>
    <w:rsid w:val="006E143D"/>
    <w:rsid w:val="006E146A"/>
    <w:rsid w:val="006E1495"/>
    <w:rsid w:val="006E177B"/>
    <w:rsid w:val="006E1B95"/>
    <w:rsid w:val="006E28A5"/>
    <w:rsid w:val="006E28D1"/>
    <w:rsid w:val="006E3708"/>
    <w:rsid w:val="006E3A67"/>
    <w:rsid w:val="006E3BAE"/>
    <w:rsid w:val="006E3F5A"/>
    <w:rsid w:val="006E3FC0"/>
    <w:rsid w:val="006E429E"/>
    <w:rsid w:val="006E4439"/>
    <w:rsid w:val="006E458B"/>
    <w:rsid w:val="006E4B35"/>
    <w:rsid w:val="006E51CC"/>
    <w:rsid w:val="006E5EAC"/>
    <w:rsid w:val="006E5F11"/>
    <w:rsid w:val="006E641B"/>
    <w:rsid w:val="006E6522"/>
    <w:rsid w:val="006E6760"/>
    <w:rsid w:val="006E6773"/>
    <w:rsid w:val="006E67A2"/>
    <w:rsid w:val="006E6872"/>
    <w:rsid w:val="006E6A7A"/>
    <w:rsid w:val="006E6E4A"/>
    <w:rsid w:val="006E705C"/>
    <w:rsid w:val="006E750E"/>
    <w:rsid w:val="006E780E"/>
    <w:rsid w:val="006E7AC5"/>
    <w:rsid w:val="006E7B5E"/>
    <w:rsid w:val="006E7F2D"/>
    <w:rsid w:val="006F004B"/>
    <w:rsid w:val="006F0523"/>
    <w:rsid w:val="006F08A6"/>
    <w:rsid w:val="006F0AE6"/>
    <w:rsid w:val="006F0BD1"/>
    <w:rsid w:val="006F0BF2"/>
    <w:rsid w:val="006F0CA0"/>
    <w:rsid w:val="006F0EA4"/>
    <w:rsid w:val="006F1159"/>
    <w:rsid w:val="006F13C5"/>
    <w:rsid w:val="006F1E97"/>
    <w:rsid w:val="006F256F"/>
    <w:rsid w:val="006F26AE"/>
    <w:rsid w:val="006F284A"/>
    <w:rsid w:val="006F29F2"/>
    <w:rsid w:val="006F2A59"/>
    <w:rsid w:val="006F2ACE"/>
    <w:rsid w:val="006F2E4F"/>
    <w:rsid w:val="006F2E5A"/>
    <w:rsid w:val="006F2FBE"/>
    <w:rsid w:val="006F33A0"/>
    <w:rsid w:val="006F3800"/>
    <w:rsid w:val="006F3C61"/>
    <w:rsid w:val="006F4310"/>
    <w:rsid w:val="006F463C"/>
    <w:rsid w:val="006F4ECF"/>
    <w:rsid w:val="006F4ED0"/>
    <w:rsid w:val="006F4EEE"/>
    <w:rsid w:val="006F5282"/>
    <w:rsid w:val="006F565F"/>
    <w:rsid w:val="006F5739"/>
    <w:rsid w:val="006F5984"/>
    <w:rsid w:val="006F5B94"/>
    <w:rsid w:val="006F5CD6"/>
    <w:rsid w:val="006F5D95"/>
    <w:rsid w:val="006F5E55"/>
    <w:rsid w:val="006F5E65"/>
    <w:rsid w:val="006F5FD5"/>
    <w:rsid w:val="006F629F"/>
    <w:rsid w:val="006F6732"/>
    <w:rsid w:val="006F6829"/>
    <w:rsid w:val="006F6A28"/>
    <w:rsid w:val="006F6CA5"/>
    <w:rsid w:val="006F7210"/>
    <w:rsid w:val="006F7658"/>
    <w:rsid w:val="006F76D3"/>
    <w:rsid w:val="006F7846"/>
    <w:rsid w:val="006F7AD3"/>
    <w:rsid w:val="006F7B56"/>
    <w:rsid w:val="006F7E9C"/>
    <w:rsid w:val="007000B3"/>
    <w:rsid w:val="0070025B"/>
    <w:rsid w:val="00700272"/>
    <w:rsid w:val="007003B3"/>
    <w:rsid w:val="007005FA"/>
    <w:rsid w:val="00700608"/>
    <w:rsid w:val="00700D6D"/>
    <w:rsid w:val="007015B3"/>
    <w:rsid w:val="0070187D"/>
    <w:rsid w:val="0070195E"/>
    <w:rsid w:val="0070197B"/>
    <w:rsid w:val="00701C01"/>
    <w:rsid w:val="00701DD7"/>
    <w:rsid w:val="00701EC6"/>
    <w:rsid w:val="0070261D"/>
    <w:rsid w:val="00702679"/>
    <w:rsid w:val="007026A8"/>
    <w:rsid w:val="0070290F"/>
    <w:rsid w:val="007030FA"/>
    <w:rsid w:val="00703210"/>
    <w:rsid w:val="007034E6"/>
    <w:rsid w:val="0070361E"/>
    <w:rsid w:val="00703717"/>
    <w:rsid w:val="00703942"/>
    <w:rsid w:val="00703A5C"/>
    <w:rsid w:val="00703EE6"/>
    <w:rsid w:val="00704191"/>
    <w:rsid w:val="00704408"/>
    <w:rsid w:val="007045B1"/>
    <w:rsid w:val="00704617"/>
    <w:rsid w:val="007046FF"/>
    <w:rsid w:val="0070491D"/>
    <w:rsid w:val="00704D6D"/>
    <w:rsid w:val="007054AD"/>
    <w:rsid w:val="00705603"/>
    <w:rsid w:val="00705610"/>
    <w:rsid w:val="0070583F"/>
    <w:rsid w:val="0070587E"/>
    <w:rsid w:val="00705B67"/>
    <w:rsid w:val="00705B9D"/>
    <w:rsid w:val="00705BB1"/>
    <w:rsid w:val="00705E67"/>
    <w:rsid w:val="00706207"/>
    <w:rsid w:val="00706300"/>
    <w:rsid w:val="00706970"/>
    <w:rsid w:val="00706F62"/>
    <w:rsid w:val="00707128"/>
    <w:rsid w:val="0070728F"/>
    <w:rsid w:val="00707551"/>
    <w:rsid w:val="00707DE2"/>
    <w:rsid w:val="00707F55"/>
    <w:rsid w:val="00710773"/>
    <w:rsid w:val="007109BB"/>
    <w:rsid w:val="00710B9D"/>
    <w:rsid w:val="00710D9F"/>
    <w:rsid w:val="00710E69"/>
    <w:rsid w:val="00710F4E"/>
    <w:rsid w:val="007110CB"/>
    <w:rsid w:val="00711335"/>
    <w:rsid w:val="00711536"/>
    <w:rsid w:val="00711637"/>
    <w:rsid w:val="0071167C"/>
    <w:rsid w:val="007116F6"/>
    <w:rsid w:val="00711A10"/>
    <w:rsid w:val="00711BE1"/>
    <w:rsid w:val="00711F07"/>
    <w:rsid w:val="0071257A"/>
    <w:rsid w:val="00712588"/>
    <w:rsid w:val="00712AF4"/>
    <w:rsid w:val="00713D46"/>
    <w:rsid w:val="0071402B"/>
    <w:rsid w:val="007140D6"/>
    <w:rsid w:val="00714130"/>
    <w:rsid w:val="007147FB"/>
    <w:rsid w:val="0071486B"/>
    <w:rsid w:val="00714A25"/>
    <w:rsid w:val="00714B1C"/>
    <w:rsid w:val="00714DC3"/>
    <w:rsid w:val="00715158"/>
    <w:rsid w:val="007151F2"/>
    <w:rsid w:val="0071540F"/>
    <w:rsid w:val="00715645"/>
    <w:rsid w:val="00715941"/>
    <w:rsid w:val="0071688F"/>
    <w:rsid w:val="00716A27"/>
    <w:rsid w:val="00716F7A"/>
    <w:rsid w:val="00717108"/>
    <w:rsid w:val="00717167"/>
    <w:rsid w:val="00717631"/>
    <w:rsid w:val="007178CC"/>
    <w:rsid w:val="00717A9E"/>
    <w:rsid w:val="00717B65"/>
    <w:rsid w:val="00717C4C"/>
    <w:rsid w:val="00717CCB"/>
    <w:rsid w:val="007205BC"/>
    <w:rsid w:val="00720CB5"/>
    <w:rsid w:val="00720D99"/>
    <w:rsid w:val="0072155C"/>
    <w:rsid w:val="0072175A"/>
    <w:rsid w:val="0072185F"/>
    <w:rsid w:val="00721A75"/>
    <w:rsid w:val="00721BA8"/>
    <w:rsid w:val="00721C7F"/>
    <w:rsid w:val="00721DF0"/>
    <w:rsid w:val="00721FFB"/>
    <w:rsid w:val="007227FB"/>
    <w:rsid w:val="007228BE"/>
    <w:rsid w:val="00722C96"/>
    <w:rsid w:val="00723009"/>
    <w:rsid w:val="00723095"/>
    <w:rsid w:val="0072333C"/>
    <w:rsid w:val="00723593"/>
    <w:rsid w:val="00723599"/>
    <w:rsid w:val="00723724"/>
    <w:rsid w:val="007238AA"/>
    <w:rsid w:val="00723A60"/>
    <w:rsid w:val="00723B35"/>
    <w:rsid w:val="00724CD0"/>
    <w:rsid w:val="00724FA6"/>
    <w:rsid w:val="00724FF5"/>
    <w:rsid w:val="00725073"/>
    <w:rsid w:val="007253DA"/>
    <w:rsid w:val="0072544C"/>
    <w:rsid w:val="007257EF"/>
    <w:rsid w:val="00725977"/>
    <w:rsid w:val="00725ABE"/>
    <w:rsid w:val="00725C82"/>
    <w:rsid w:val="00725FD7"/>
    <w:rsid w:val="00726057"/>
    <w:rsid w:val="0072610E"/>
    <w:rsid w:val="00726211"/>
    <w:rsid w:val="007264EA"/>
    <w:rsid w:val="00726AF8"/>
    <w:rsid w:val="00726B8D"/>
    <w:rsid w:val="00726E5D"/>
    <w:rsid w:val="0072787B"/>
    <w:rsid w:val="007278A1"/>
    <w:rsid w:val="00727AD2"/>
    <w:rsid w:val="00727B79"/>
    <w:rsid w:val="00727C3D"/>
    <w:rsid w:val="00727F78"/>
    <w:rsid w:val="00727FBC"/>
    <w:rsid w:val="00730298"/>
    <w:rsid w:val="00730321"/>
    <w:rsid w:val="00730521"/>
    <w:rsid w:val="00730A0F"/>
    <w:rsid w:val="00730BF9"/>
    <w:rsid w:val="00730D60"/>
    <w:rsid w:val="00731748"/>
    <w:rsid w:val="007320A3"/>
    <w:rsid w:val="0073241B"/>
    <w:rsid w:val="00732495"/>
    <w:rsid w:val="0073267F"/>
    <w:rsid w:val="0073313B"/>
    <w:rsid w:val="00733160"/>
    <w:rsid w:val="007331E3"/>
    <w:rsid w:val="00733656"/>
    <w:rsid w:val="007339D5"/>
    <w:rsid w:val="00733A2F"/>
    <w:rsid w:val="007342B9"/>
    <w:rsid w:val="00734336"/>
    <w:rsid w:val="0073455D"/>
    <w:rsid w:val="00734EBE"/>
    <w:rsid w:val="007351CD"/>
    <w:rsid w:val="007352AC"/>
    <w:rsid w:val="00735589"/>
    <w:rsid w:val="00735592"/>
    <w:rsid w:val="007358A4"/>
    <w:rsid w:val="00735B99"/>
    <w:rsid w:val="00735BEB"/>
    <w:rsid w:val="00736228"/>
    <w:rsid w:val="0073681C"/>
    <w:rsid w:val="00736A08"/>
    <w:rsid w:val="00736B9F"/>
    <w:rsid w:val="00736DD7"/>
    <w:rsid w:val="00737409"/>
    <w:rsid w:val="00737694"/>
    <w:rsid w:val="00737BC8"/>
    <w:rsid w:val="00737BE5"/>
    <w:rsid w:val="0074028B"/>
    <w:rsid w:val="007403D1"/>
    <w:rsid w:val="0074054E"/>
    <w:rsid w:val="00740746"/>
    <w:rsid w:val="007407E3"/>
    <w:rsid w:val="00740889"/>
    <w:rsid w:val="00740F59"/>
    <w:rsid w:val="00741847"/>
    <w:rsid w:val="00741B6A"/>
    <w:rsid w:val="00741D42"/>
    <w:rsid w:val="00741F69"/>
    <w:rsid w:val="0074245D"/>
    <w:rsid w:val="00742571"/>
    <w:rsid w:val="00742A0E"/>
    <w:rsid w:val="00742BF2"/>
    <w:rsid w:val="0074318D"/>
    <w:rsid w:val="00743329"/>
    <w:rsid w:val="007435C1"/>
    <w:rsid w:val="007435D0"/>
    <w:rsid w:val="007437FB"/>
    <w:rsid w:val="007441ED"/>
    <w:rsid w:val="00744A61"/>
    <w:rsid w:val="00744B96"/>
    <w:rsid w:val="00744F3F"/>
    <w:rsid w:val="0074546B"/>
    <w:rsid w:val="00745562"/>
    <w:rsid w:val="00745564"/>
    <w:rsid w:val="007455FD"/>
    <w:rsid w:val="007456F3"/>
    <w:rsid w:val="007457F8"/>
    <w:rsid w:val="00745968"/>
    <w:rsid w:val="00745EF3"/>
    <w:rsid w:val="00746160"/>
    <w:rsid w:val="00746275"/>
    <w:rsid w:val="0074634B"/>
    <w:rsid w:val="007468FF"/>
    <w:rsid w:val="00746B8F"/>
    <w:rsid w:val="00746BC3"/>
    <w:rsid w:val="00747714"/>
    <w:rsid w:val="00747AED"/>
    <w:rsid w:val="00747C5A"/>
    <w:rsid w:val="00747D73"/>
    <w:rsid w:val="00747DE9"/>
    <w:rsid w:val="00747E77"/>
    <w:rsid w:val="007506C0"/>
    <w:rsid w:val="007507EB"/>
    <w:rsid w:val="00750B90"/>
    <w:rsid w:val="00750C02"/>
    <w:rsid w:val="00750C29"/>
    <w:rsid w:val="00750DB6"/>
    <w:rsid w:val="0075133C"/>
    <w:rsid w:val="00751B32"/>
    <w:rsid w:val="00751CC2"/>
    <w:rsid w:val="00751D61"/>
    <w:rsid w:val="007520A2"/>
    <w:rsid w:val="00752282"/>
    <w:rsid w:val="00752405"/>
    <w:rsid w:val="0075240E"/>
    <w:rsid w:val="007525C5"/>
    <w:rsid w:val="0075267B"/>
    <w:rsid w:val="00753931"/>
    <w:rsid w:val="00753D62"/>
    <w:rsid w:val="00753F19"/>
    <w:rsid w:val="007544A0"/>
    <w:rsid w:val="007546C8"/>
    <w:rsid w:val="00754957"/>
    <w:rsid w:val="00754CC5"/>
    <w:rsid w:val="00754D62"/>
    <w:rsid w:val="00754F72"/>
    <w:rsid w:val="007550A6"/>
    <w:rsid w:val="00755365"/>
    <w:rsid w:val="00755D1D"/>
    <w:rsid w:val="00755D4B"/>
    <w:rsid w:val="00756067"/>
    <w:rsid w:val="00756382"/>
    <w:rsid w:val="00756395"/>
    <w:rsid w:val="00756745"/>
    <w:rsid w:val="0075676D"/>
    <w:rsid w:val="0075696F"/>
    <w:rsid w:val="00756A9A"/>
    <w:rsid w:val="00756E3B"/>
    <w:rsid w:val="00756FDB"/>
    <w:rsid w:val="0075779D"/>
    <w:rsid w:val="00757E59"/>
    <w:rsid w:val="007601C7"/>
    <w:rsid w:val="007601FB"/>
    <w:rsid w:val="00760539"/>
    <w:rsid w:val="00760855"/>
    <w:rsid w:val="0076095C"/>
    <w:rsid w:val="007612F3"/>
    <w:rsid w:val="00761529"/>
    <w:rsid w:val="007616B2"/>
    <w:rsid w:val="007617B0"/>
    <w:rsid w:val="007619A4"/>
    <w:rsid w:val="00761E7E"/>
    <w:rsid w:val="00761F05"/>
    <w:rsid w:val="0076226F"/>
    <w:rsid w:val="0076238D"/>
    <w:rsid w:val="007625CB"/>
    <w:rsid w:val="00762C87"/>
    <w:rsid w:val="007639C4"/>
    <w:rsid w:val="00763F7A"/>
    <w:rsid w:val="007640AC"/>
    <w:rsid w:val="00764239"/>
    <w:rsid w:val="00764543"/>
    <w:rsid w:val="007646B2"/>
    <w:rsid w:val="007646D4"/>
    <w:rsid w:val="007647F3"/>
    <w:rsid w:val="007648C0"/>
    <w:rsid w:val="007653FA"/>
    <w:rsid w:val="00765443"/>
    <w:rsid w:val="0076550F"/>
    <w:rsid w:val="0076582F"/>
    <w:rsid w:val="00765978"/>
    <w:rsid w:val="00765BB8"/>
    <w:rsid w:val="007671E7"/>
    <w:rsid w:val="0076768C"/>
    <w:rsid w:val="00767847"/>
    <w:rsid w:val="007678DF"/>
    <w:rsid w:val="007678EB"/>
    <w:rsid w:val="00767DA1"/>
    <w:rsid w:val="00770262"/>
    <w:rsid w:val="0077038F"/>
    <w:rsid w:val="00770C19"/>
    <w:rsid w:val="007716C8"/>
    <w:rsid w:val="00771797"/>
    <w:rsid w:val="00771B90"/>
    <w:rsid w:val="0077222E"/>
    <w:rsid w:val="00772311"/>
    <w:rsid w:val="00772315"/>
    <w:rsid w:val="00772641"/>
    <w:rsid w:val="00772C4F"/>
    <w:rsid w:val="00773342"/>
    <w:rsid w:val="007735AD"/>
    <w:rsid w:val="0077366A"/>
    <w:rsid w:val="007736A9"/>
    <w:rsid w:val="007736DA"/>
    <w:rsid w:val="0077384A"/>
    <w:rsid w:val="007738A5"/>
    <w:rsid w:val="00773A93"/>
    <w:rsid w:val="00773CBA"/>
    <w:rsid w:val="00773E44"/>
    <w:rsid w:val="00773F6D"/>
    <w:rsid w:val="00774167"/>
    <w:rsid w:val="00774524"/>
    <w:rsid w:val="0077468E"/>
    <w:rsid w:val="00774971"/>
    <w:rsid w:val="00774D7D"/>
    <w:rsid w:val="00774E07"/>
    <w:rsid w:val="00774F8E"/>
    <w:rsid w:val="0077503B"/>
    <w:rsid w:val="00775083"/>
    <w:rsid w:val="007750C5"/>
    <w:rsid w:val="007754D0"/>
    <w:rsid w:val="0077573A"/>
    <w:rsid w:val="00775829"/>
    <w:rsid w:val="007758B9"/>
    <w:rsid w:val="00775AAC"/>
    <w:rsid w:val="00775C96"/>
    <w:rsid w:val="00775F6F"/>
    <w:rsid w:val="007762C1"/>
    <w:rsid w:val="0077685E"/>
    <w:rsid w:val="00776866"/>
    <w:rsid w:val="00776CD4"/>
    <w:rsid w:val="0077723A"/>
    <w:rsid w:val="00777D46"/>
    <w:rsid w:val="00780620"/>
    <w:rsid w:val="00780884"/>
    <w:rsid w:val="00780D85"/>
    <w:rsid w:val="0078149E"/>
    <w:rsid w:val="00781985"/>
    <w:rsid w:val="00781B0B"/>
    <w:rsid w:val="00781E7E"/>
    <w:rsid w:val="00782384"/>
    <w:rsid w:val="007823AE"/>
    <w:rsid w:val="007825A7"/>
    <w:rsid w:val="00782928"/>
    <w:rsid w:val="007834B7"/>
    <w:rsid w:val="007835EB"/>
    <w:rsid w:val="0078369D"/>
    <w:rsid w:val="00783921"/>
    <w:rsid w:val="00783DB5"/>
    <w:rsid w:val="00783E0C"/>
    <w:rsid w:val="00784433"/>
    <w:rsid w:val="0078445F"/>
    <w:rsid w:val="00784561"/>
    <w:rsid w:val="007849B3"/>
    <w:rsid w:val="0078561C"/>
    <w:rsid w:val="00785768"/>
    <w:rsid w:val="00785808"/>
    <w:rsid w:val="00785A57"/>
    <w:rsid w:val="00785B19"/>
    <w:rsid w:val="00785C18"/>
    <w:rsid w:val="007875BA"/>
    <w:rsid w:val="007875C3"/>
    <w:rsid w:val="00787990"/>
    <w:rsid w:val="007907E3"/>
    <w:rsid w:val="00790A71"/>
    <w:rsid w:val="00790C70"/>
    <w:rsid w:val="0079132E"/>
    <w:rsid w:val="00791424"/>
    <w:rsid w:val="007925E3"/>
    <w:rsid w:val="007925F9"/>
    <w:rsid w:val="00792FFB"/>
    <w:rsid w:val="00793036"/>
    <w:rsid w:val="00793213"/>
    <w:rsid w:val="0079353F"/>
    <w:rsid w:val="00793544"/>
    <w:rsid w:val="00793603"/>
    <w:rsid w:val="00793763"/>
    <w:rsid w:val="0079398B"/>
    <w:rsid w:val="00793F1D"/>
    <w:rsid w:val="0079406D"/>
    <w:rsid w:val="00794856"/>
    <w:rsid w:val="0079492B"/>
    <w:rsid w:val="00794A26"/>
    <w:rsid w:val="00794BBE"/>
    <w:rsid w:val="00794D05"/>
    <w:rsid w:val="00794DF7"/>
    <w:rsid w:val="00794F36"/>
    <w:rsid w:val="0079529C"/>
    <w:rsid w:val="007953D1"/>
    <w:rsid w:val="00795620"/>
    <w:rsid w:val="00795747"/>
    <w:rsid w:val="0079594A"/>
    <w:rsid w:val="007967A5"/>
    <w:rsid w:val="00796D7F"/>
    <w:rsid w:val="00796D9B"/>
    <w:rsid w:val="0079727A"/>
    <w:rsid w:val="00797445"/>
    <w:rsid w:val="0079768A"/>
    <w:rsid w:val="00797804"/>
    <w:rsid w:val="00797922"/>
    <w:rsid w:val="00797A5B"/>
    <w:rsid w:val="00797C65"/>
    <w:rsid w:val="00797F16"/>
    <w:rsid w:val="007A0234"/>
    <w:rsid w:val="007A05CB"/>
    <w:rsid w:val="007A0886"/>
    <w:rsid w:val="007A09AC"/>
    <w:rsid w:val="007A0A5A"/>
    <w:rsid w:val="007A1066"/>
    <w:rsid w:val="007A13E1"/>
    <w:rsid w:val="007A1790"/>
    <w:rsid w:val="007A1C82"/>
    <w:rsid w:val="007A1E92"/>
    <w:rsid w:val="007A221A"/>
    <w:rsid w:val="007A2D27"/>
    <w:rsid w:val="007A3051"/>
    <w:rsid w:val="007A31F9"/>
    <w:rsid w:val="007A32FA"/>
    <w:rsid w:val="007A3737"/>
    <w:rsid w:val="007A3E72"/>
    <w:rsid w:val="007A4004"/>
    <w:rsid w:val="007A434F"/>
    <w:rsid w:val="007A459F"/>
    <w:rsid w:val="007A462C"/>
    <w:rsid w:val="007A486B"/>
    <w:rsid w:val="007A4B6E"/>
    <w:rsid w:val="007A4D2B"/>
    <w:rsid w:val="007A50D0"/>
    <w:rsid w:val="007A50F3"/>
    <w:rsid w:val="007A53AF"/>
    <w:rsid w:val="007A5795"/>
    <w:rsid w:val="007A57D1"/>
    <w:rsid w:val="007A6104"/>
    <w:rsid w:val="007A636D"/>
    <w:rsid w:val="007A6469"/>
    <w:rsid w:val="007A6643"/>
    <w:rsid w:val="007A675E"/>
    <w:rsid w:val="007A6951"/>
    <w:rsid w:val="007A6CC6"/>
    <w:rsid w:val="007A6E7B"/>
    <w:rsid w:val="007A6FD5"/>
    <w:rsid w:val="007A726B"/>
    <w:rsid w:val="007A7276"/>
    <w:rsid w:val="007A7347"/>
    <w:rsid w:val="007A7596"/>
    <w:rsid w:val="007A76CB"/>
    <w:rsid w:val="007A7B86"/>
    <w:rsid w:val="007A7BD2"/>
    <w:rsid w:val="007B027B"/>
    <w:rsid w:val="007B07EA"/>
    <w:rsid w:val="007B0B93"/>
    <w:rsid w:val="007B1316"/>
    <w:rsid w:val="007B149B"/>
    <w:rsid w:val="007B2051"/>
    <w:rsid w:val="007B29EF"/>
    <w:rsid w:val="007B2E0B"/>
    <w:rsid w:val="007B2F1E"/>
    <w:rsid w:val="007B3346"/>
    <w:rsid w:val="007B35E5"/>
    <w:rsid w:val="007B3A08"/>
    <w:rsid w:val="007B3AA8"/>
    <w:rsid w:val="007B4582"/>
    <w:rsid w:val="007B489C"/>
    <w:rsid w:val="007B4E4F"/>
    <w:rsid w:val="007B5581"/>
    <w:rsid w:val="007B5A94"/>
    <w:rsid w:val="007B5B12"/>
    <w:rsid w:val="007B65E0"/>
    <w:rsid w:val="007B6702"/>
    <w:rsid w:val="007B6916"/>
    <w:rsid w:val="007B6E13"/>
    <w:rsid w:val="007B72CE"/>
    <w:rsid w:val="007B75CD"/>
    <w:rsid w:val="007B78EB"/>
    <w:rsid w:val="007B78F5"/>
    <w:rsid w:val="007C0096"/>
    <w:rsid w:val="007C0472"/>
    <w:rsid w:val="007C0477"/>
    <w:rsid w:val="007C083B"/>
    <w:rsid w:val="007C0DFD"/>
    <w:rsid w:val="007C0EE5"/>
    <w:rsid w:val="007C11E2"/>
    <w:rsid w:val="007C1292"/>
    <w:rsid w:val="007C15AE"/>
    <w:rsid w:val="007C1A44"/>
    <w:rsid w:val="007C1B95"/>
    <w:rsid w:val="007C1C9E"/>
    <w:rsid w:val="007C1DDA"/>
    <w:rsid w:val="007C2852"/>
    <w:rsid w:val="007C29B9"/>
    <w:rsid w:val="007C29FC"/>
    <w:rsid w:val="007C2A7D"/>
    <w:rsid w:val="007C2EC3"/>
    <w:rsid w:val="007C312E"/>
    <w:rsid w:val="007C35B2"/>
    <w:rsid w:val="007C3645"/>
    <w:rsid w:val="007C366B"/>
    <w:rsid w:val="007C3875"/>
    <w:rsid w:val="007C3A8D"/>
    <w:rsid w:val="007C3F67"/>
    <w:rsid w:val="007C3F83"/>
    <w:rsid w:val="007C4133"/>
    <w:rsid w:val="007C41FC"/>
    <w:rsid w:val="007C4E94"/>
    <w:rsid w:val="007C566B"/>
    <w:rsid w:val="007C5897"/>
    <w:rsid w:val="007C591F"/>
    <w:rsid w:val="007C5CCB"/>
    <w:rsid w:val="007C5D89"/>
    <w:rsid w:val="007C60A5"/>
    <w:rsid w:val="007C6288"/>
    <w:rsid w:val="007C68CB"/>
    <w:rsid w:val="007C6E6D"/>
    <w:rsid w:val="007C7733"/>
    <w:rsid w:val="007C78CB"/>
    <w:rsid w:val="007C7976"/>
    <w:rsid w:val="007C79B6"/>
    <w:rsid w:val="007C7D2B"/>
    <w:rsid w:val="007C7D4B"/>
    <w:rsid w:val="007C7D62"/>
    <w:rsid w:val="007D0114"/>
    <w:rsid w:val="007D0284"/>
    <w:rsid w:val="007D043D"/>
    <w:rsid w:val="007D08E6"/>
    <w:rsid w:val="007D11D0"/>
    <w:rsid w:val="007D1248"/>
    <w:rsid w:val="007D253A"/>
    <w:rsid w:val="007D253F"/>
    <w:rsid w:val="007D2574"/>
    <w:rsid w:val="007D2626"/>
    <w:rsid w:val="007D2ADD"/>
    <w:rsid w:val="007D2AE4"/>
    <w:rsid w:val="007D354D"/>
    <w:rsid w:val="007D3755"/>
    <w:rsid w:val="007D37C4"/>
    <w:rsid w:val="007D3983"/>
    <w:rsid w:val="007D3AE9"/>
    <w:rsid w:val="007D3AF6"/>
    <w:rsid w:val="007D3F30"/>
    <w:rsid w:val="007D42CF"/>
    <w:rsid w:val="007D4548"/>
    <w:rsid w:val="007D45BA"/>
    <w:rsid w:val="007D45F8"/>
    <w:rsid w:val="007D48E9"/>
    <w:rsid w:val="007D4A6E"/>
    <w:rsid w:val="007D4C58"/>
    <w:rsid w:val="007D4D92"/>
    <w:rsid w:val="007D4DB5"/>
    <w:rsid w:val="007D5214"/>
    <w:rsid w:val="007D52EA"/>
    <w:rsid w:val="007D542F"/>
    <w:rsid w:val="007D5805"/>
    <w:rsid w:val="007D592A"/>
    <w:rsid w:val="007D5EA7"/>
    <w:rsid w:val="007D5EDA"/>
    <w:rsid w:val="007D60A4"/>
    <w:rsid w:val="007D6E21"/>
    <w:rsid w:val="007D6F14"/>
    <w:rsid w:val="007D71C9"/>
    <w:rsid w:val="007D73EA"/>
    <w:rsid w:val="007D753A"/>
    <w:rsid w:val="007D75AE"/>
    <w:rsid w:val="007D781A"/>
    <w:rsid w:val="007D79BC"/>
    <w:rsid w:val="007D7AA4"/>
    <w:rsid w:val="007D7B5A"/>
    <w:rsid w:val="007E0216"/>
    <w:rsid w:val="007E0397"/>
    <w:rsid w:val="007E03D8"/>
    <w:rsid w:val="007E0431"/>
    <w:rsid w:val="007E0BE2"/>
    <w:rsid w:val="007E0EA6"/>
    <w:rsid w:val="007E1255"/>
    <w:rsid w:val="007E12E9"/>
    <w:rsid w:val="007E1AD6"/>
    <w:rsid w:val="007E1EB8"/>
    <w:rsid w:val="007E211F"/>
    <w:rsid w:val="007E218A"/>
    <w:rsid w:val="007E219C"/>
    <w:rsid w:val="007E21F4"/>
    <w:rsid w:val="007E25F9"/>
    <w:rsid w:val="007E2610"/>
    <w:rsid w:val="007E2C32"/>
    <w:rsid w:val="007E3339"/>
    <w:rsid w:val="007E337D"/>
    <w:rsid w:val="007E346B"/>
    <w:rsid w:val="007E3D62"/>
    <w:rsid w:val="007E3E42"/>
    <w:rsid w:val="007E40BD"/>
    <w:rsid w:val="007E41A5"/>
    <w:rsid w:val="007E43BF"/>
    <w:rsid w:val="007E4662"/>
    <w:rsid w:val="007E563C"/>
    <w:rsid w:val="007E5843"/>
    <w:rsid w:val="007E584A"/>
    <w:rsid w:val="007E5D85"/>
    <w:rsid w:val="007E5FA1"/>
    <w:rsid w:val="007E5FF7"/>
    <w:rsid w:val="007E6122"/>
    <w:rsid w:val="007E63A5"/>
    <w:rsid w:val="007E65A2"/>
    <w:rsid w:val="007E66C9"/>
    <w:rsid w:val="007E67FD"/>
    <w:rsid w:val="007E6888"/>
    <w:rsid w:val="007E6D2D"/>
    <w:rsid w:val="007E74A1"/>
    <w:rsid w:val="007E7D4C"/>
    <w:rsid w:val="007F007B"/>
    <w:rsid w:val="007F04B2"/>
    <w:rsid w:val="007F05A9"/>
    <w:rsid w:val="007F0B86"/>
    <w:rsid w:val="007F0D2F"/>
    <w:rsid w:val="007F100A"/>
    <w:rsid w:val="007F1024"/>
    <w:rsid w:val="007F15BE"/>
    <w:rsid w:val="007F174D"/>
    <w:rsid w:val="007F1B27"/>
    <w:rsid w:val="007F1E44"/>
    <w:rsid w:val="007F21BB"/>
    <w:rsid w:val="007F2A8D"/>
    <w:rsid w:val="007F2DDF"/>
    <w:rsid w:val="007F3112"/>
    <w:rsid w:val="007F3249"/>
    <w:rsid w:val="007F382E"/>
    <w:rsid w:val="007F3DE1"/>
    <w:rsid w:val="007F3E1F"/>
    <w:rsid w:val="007F3E2C"/>
    <w:rsid w:val="007F41AB"/>
    <w:rsid w:val="007F4365"/>
    <w:rsid w:val="007F4794"/>
    <w:rsid w:val="007F4A18"/>
    <w:rsid w:val="007F4F15"/>
    <w:rsid w:val="007F529A"/>
    <w:rsid w:val="007F5784"/>
    <w:rsid w:val="007F5A45"/>
    <w:rsid w:val="007F5C58"/>
    <w:rsid w:val="007F5E99"/>
    <w:rsid w:val="007F5F1D"/>
    <w:rsid w:val="007F613B"/>
    <w:rsid w:val="007F6317"/>
    <w:rsid w:val="007F6C42"/>
    <w:rsid w:val="007F6F66"/>
    <w:rsid w:val="007F6F95"/>
    <w:rsid w:val="007F7246"/>
    <w:rsid w:val="007F72A8"/>
    <w:rsid w:val="007F75D0"/>
    <w:rsid w:val="007F7715"/>
    <w:rsid w:val="007F7BB3"/>
    <w:rsid w:val="007F7CAE"/>
    <w:rsid w:val="007F7D98"/>
    <w:rsid w:val="007F7ED3"/>
    <w:rsid w:val="0080008A"/>
    <w:rsid w:val="008000B6"/>
    <w:rsid w:val="008000C8"/>
    <w:rsid w:val="00800622"/>
    <w:rsid w:val="00800885"/>
    <w:rsid w:val="00800DD9"/>
    <w:rsid w:val="00800FE4"/>
    <w:rsid w:val="008011A1"/>
    <w:rsid w:val="0080128C"/>
    <w:rsid w:val="0080135F"/>
    <w:rsid w:val="00801C78"/>
    <w:rsid w:val="00801C7A"/>
    <w:rsid w:val="00801ECB"/>
    <w:rsid w:val="0080211C"/>
    <w:rsid w:val="008021D0"/>
    <w:rsid w:val="00802BDA"/>
    <w:rsid w:val="00802F54"/>
    <w:rsid w:val="00803120"/>
    <w:rsid w:val="00803381"/>
    <w:rsid w:val="0080373C"/>
    <w:rsid w:val="008038AC"/>
    <w:rsid w:val="008038D0"/>
    <w:rsid w:val="00803AF3"/>
    <w:rsid w:val="008048F5"/>
    <w:rsid w:val="00804AE5"/>
    <w:rsid w:val="00804D3E"/>
    <w:rsid w:val="008050FC"/>
    <w:rsid w:val="008055CE"/>
    <w:rsid w:val="00805647"/>
    <w:rsid w:val="0080590D"/>
    <w:rsid w:val="00805B4D"/>
    <w:rsid w:val="00806507"/>
    <w:rsid w:val="00806672"/>
    <w:rsid w:val="008068BE"/>
    <w:rsid w:val="00806934"/>
    <w:rsid w:val="008069CD"/>
    <w:rsid w:val="00806A08"/>
    <w:rsid w:val="00806E94"/>
    <w:rsid w:val="008070FA"/>
    <w:rsid w:val="008073A0"/>
    <w:rsid w:val="00807644"/>
    <w:rsid w:val="00807A71"/>
    <w:rsid w:val="00807AAA"/>
    <w:rsid w:val="0081003C"/>
    <w:rsid w:val="00810913"/>
    <w:rsid w:val="00810FC4"/>
    <w:rsid w:val="00811944"/>
    <w:rsid w:val="0081225D"/>
    <w:rsid w:val="00812B42"/>
    <w:rsid w:val="00812C9C"/>
    <w:rsid w:val="00813308"/>
    <w:rsid w:val="0081391C"/>
    <w:rsid w:val="00814176"/>
    <w:rsid w:val="008141AD"/>
    <w:rsid w:val="008141BC"/>
    <w:rsid w:val="0081438A"/>
    <w:rsid w:val="0081448E"/>
    <w:rsid w:val="00814ECE"/>
    <w:rsid w:val="00815214"/>
    <w:rsid w:val="0081531A"/>
    <w:rsid w:val="00815350"/>
    <w:rsid w:val="00815600"/>
    <w:rsid w:val="008156D5"/>
    <w:rsid w:val="008157DF"/>
    <w:rsid w:val="0081586B"/>
    <w:rsid w:val="00815BA7"/>
    <w:rsid w:val="008165C0"/>
    <w:rsid w:val="0081695D"/>
    <w:rsid w:val="008169F2"/>
    <w:rsid w:val="00817014"/>
    <w:rsid w:val="008173F5"/>
    <w:rsid w:val="008174ED"/>
    <w:rsid w:val="00820096"/>
    <w:rsid w:val="00820A9F"/>
    <w:rsid w:val="00820C29"/>
    <w:rsid w:val="00820CC2"/>
    <w:rsid w:val="00820D68"/>
    <w:rsid w:val="00821031"/>
    <w:rsid w:val="008210EB"/>
    <w:rsid w:val="00821143"/>
    <w:rsid w:val="0082161E"/>
    <w:rsid w:val="008217D7"/>
    <w:rsid w:val="0082197A"/>
    <w:rsid w:val="008219BD"/>
    <w:rsid w:val="00821C13"/>
    <w:rsid w:val="008221E1"/>
    <w:rsid w:val="008222B6"/>
    <w:rsid w:val="0082299B"/>
    <w:rsid w:val="00822C00"/>
    <w:rsid w:val="00822C02"/>
    <w:rsid w:val="00822C3E"/>
    <w:rsid w:val="00822CA2"/>
    <w:rsid w:val="008231B2"/>
    <w:rsid w:val="00823AEB"/>
    <w:rsid w:val="00823F4C"/>
    <w:rsid w:val="0082402C"/>
    <w:rsid w:val="00824B9D"/>
    <w:rsid w:val="00825032"/>
    <w:rsid w:val="008253EC"/>
    <w:rsid w:val="008258C5"/>
    <w:rsid w:val="008259F9"/>
    <w:rsid w:val="00825D34"/>
    <w:rsid w:val="00825E3D"/>
    <w:rsid w:val="00825EC9"/>
    <w:rsid w:val="00825F60"/>
    <w:rsid w:val="00825FFD"/>
    <w:rsid w:val="00826071"/>
    <w:rsid w:val="008265F5"/>
    <w:rsid w:val="0082675D"/>
    <w:rsid w:val="008269BB"/>
    <w:rsid w:val="00826B94"/>
    <w:rsid w:val="00826EAA"/>
    <w:rsid w:val="00827023"/>
    <w:rsid w:val="008271C4"/>
    <w:rsid w:val="0082726D"/>
    <w:rsid w:val="0082752C"/>
    <w:rsid w:val="0082768E"/>
    <w:rsid w:val="0082790A"/>
    <w:rsid w:val="00827AE3"/>
    <w:rsid w:val="00830169"/>
    <w:rsid w:val="008301B0"/>
    <w:rsid w:val="00830334"/>
    <w:rsid w:val="0083040E"/>
    <w:rsid w:val="00830753"/>
    <w:rsid w:val="00830B5B"/>
    <w:rsid w:val="00830C85"/>
    <w:rsid w:val="00831386"/>
    <w:rsid w:val="00831419"/>
    <w:rsid w:val="008317B3"/>
    <w:rsid w:val="00831F07"/>
    <w:rsid w:val="00832387"/>
    <w:rsid w:val="008325DD"/>
    <w:rsid w:val="00832773"/>
    <w:rsid w:val="00832878"/>
    <w:rsid w:val="008328E6"/>
    <w:rsid w:val="00832B1E"/>
    <w:rsid w:val="00832E10"/>
    <w:rsid w:val="008330EE"/>
    <w:rsid w:val="008331D8"/>
    <w:rsid w:val="00833AC5"/>
    <w:rsid w:val="00833D2F"/>
    <w:rsid w:val="008341FA"/>
    <w:rsid w:val="00834A56"/>
    <w:rsid w:val="00835532"/>
    <w:rsid w:val="008357A6"/>
    <w:rsid w:val="0083590B"/>
    <w:rsid w:val="00835B7F"/>
    <w:rsid w:val="00835BA8"/>
    <w:rsid w:val="00835D28"/>
    <w:rsid w:val="008360B7"/>
    <w:rsid w:val="00836D7A"/>
    <w:rsid w:val="00836DA1"/>
    <w:rsid w:val="00836ED8"/>
    <w:rsid w:val="0083704C"/>
    <w:rsid w:val="00837220"/>
    <w:rsid w:val="00837A5A"/>
    <w:rsid w:val="00837D11"/>
    <w:rsid w:val="00840029"/>
    <w:rsid w:val="00840487"/>
    <w:rsid w:val="00840699"/>
    <w:rsid w:val="0084070E"/>
    <w:rsid w:val="00840B92"/>
    <w:rsid w:val="00840BD9"/>
    <w:rsid w:val="00840F37"/>
    <w:rsid w:val="00841CB4"/>
    <w:rsid w:val="00842210"/>
    <w:rsid w:val="00842413"/>
    <w:rsid w:val="008429CE"/>
    <w:rsid w:val="00842A27"/>
    <w:rsid w:val="00842AD2"/>
    <w:rsid w:val="00842BAF"/>
    <w:rsid w:val="00842C73"/>
    <w:rsid w:val="00842D9B"/>
    <w:rsid w:val="0084301A"/>
    <w:rsid w:val="008430E4"/>
    <w:rsid w:val="00843108"/>
    <w:rsid w:val="008434AE"/>
    <w:rsid w:val="0084381E"/>
    <w:rsid w:val="00843F23"/>
    <w:rsid w:val="00843F71"/>
    <w:rsid w:val="008441DB"/>
    <w:rsid w:val="00844382"/>
    <w:rsid w:val="00844DD4"/>
    <w:rsid w:val="00844E9E"/>
    <w:rsid w:val="00845130"/>
    <w:rsid w:val="0084542E"/>
    <w:rsid w:val="00845647"/>
    <w:rsid w:val="0084578A"/>
    <w:rsid w:val="00845965"/>
    <w:rsid w:val="00845D04"/>
    <w:rsid w:val="0084622A"/>
    <w:rsid w:val="0084622B"/>
    <w:rsid w:val="0084641D"/>
    <w:rsid w:val="00846ADF"/>
    <w:rsid w:val="00846B24"/>
    <w:rsid w:val="00846B50"/>
    <w:rsid w:val="00846D20"/>
    <w:rsid w:val="00847037"/>
    <w:rsid w:val="00847068"/>
    <w:rsid w:val="00847146"/>
    <w:rsid w:val="00847234"/>
    <w:rsid w:val="00847295"/>
    <w:rsid w:val="0084745E"/>
    <w:rsid w:val="00847ED1"/>
    <w:rsid w:val="00847F47"/>
    <w:rsid w:val="00847F7B"/>
    <w:rsid w:val="0085001E"/>
    <w:rsid w:val="0085015C"/>
    <w:rsid w:val="0085021F"/>
    <w:rsid w:val="0085033F"/>
    <w:rsid w:val="0085049C"/>
    <w:rsid w:val="008504D6"/>
    <w:rsid w:val="0085068E"/>
    <w:rsid w:val="0085072F"/>
    <w:rsid w:val="008507BD"/>
    <w:rsid w:val="00850A03"/>
    <w:rsid w:val="00850BFD"/>
    <w:rsid w:val="00850D6B"/>
    <w:rsid w:val="008513D5"/>
    <w:rsid w:val="0085172E"/>
    <w:rsid w:val="00851738"/>
    <w:rsid w:val="00851E5C"/>
    <w:rsid w:val="00851FA0"/>
    <w:rsid w:val="00851FB4"/>
    <w:rsid w:val="00851FFE"/>
    <w:rsid w:val="008522B6"/>
    <w:rsid w:val="0085236C"/>
    <w:rsid w:val="0085258C"/>
    <w:rsid w:val="0085268A"/>
    <w:rsid w:val="00853123"/>
    <w:rsid w:val="0085382C"/>
    <w:rsid w:val="00853AC1"/>
    <w:rsid w:val="00853BED"/>
    <w:rsid w:val="00853F2F"/>
    <w:rsid w:val="00855155"/>
    <w:rsid w:val="008552E5"/>
    <w:rsid w:val="008559C0"/>
    <w:rsid w:val="00856322"/>
    <w:rsid w:val="00856461"/>
    <w:rsid w:val="008567C2"/>
    <w:rsid w:val="00856A82"/>
    <w:rsid w:val="008571DE"/>
    <w:rsid w:val="00857550"/>
    <w:rsid w:val="00857A1D"/>
    <w:rsid w:val="00857EDF"/>
    <w:rsid w:val="00860353"/>
    <w:rsid w:val="008606C7"/>
    <w:rsid w:val="008608DF"/>
    <w:rsid w:val="00860A5D"/>
    <w:rsid w:val="00860D25"/>
    <w:rsid w:val="00860EC3"/>
    <w:rsid w:val="0086127C"/>
    <w:rsid w:val="0086160D"/>
    <w:rsid w:val="00861DBE"/>
    <w:rsid w:val="0086214A"/>
    <w:rsid w:val="008628BB"/>
    <w:rsid w:val="00862AB3"/>
    <w:rsid w:val="00862DA1"/>
    <w:rsid w:val="008634A5"/>
    <w:rsid w:val="00863511"/>
    <w:rsid w:val="008636CC"/>
    <w:rsid w:val="0086376C"/>
    <w:rsid w:val="008637FB"/>
    <w:rsid w:val="008638D8"/>
    <w:rsid w:val="00863C1B"/>
    <w:rsid w:val="00863C83"/>
    <w:rsid w:val="00864549"/>
    <w:rsid w:val="008645CD"/>
    <w:rsid w:val="00864872"/>
    <w:rsid w:val="00864A3F"/>
    <w:rsid w:val="00864C42"/>
    <w:rsid w:val="00864CA0"/>
    <w:rsid w:val="00864D30"/>
    <w:rsid w:val="00864D6C"/>
    <w:rsid w:val="00864E40"/>
    <w:rsid w:val="00864F7B"/>
    <w:rsid w:val="00865019"/>
    <w:rsid w:val="008650E3"/>
    <w:rsid w:val="00865293"/>
    <w:rsid w:val="008652EE"/>
    <w:rsid w:val="008656C6"/>
    <w:rsid w:val="00865BE5"/>
    <w:rsid w:val="00865FEC"/>
    <w:rsid w:val="008660D8"/>
    <w:rsid w:val="0086646F"/>
    <w:rsid w:val="00866A1F"/>
    <w:rsid w:val="00867254"/>
    <w:rsid w:val="00867B8D"/>
    <w:rsid w:val="00867BA5"/>
    <w:rsid w:val="00867C47"/>
    <w:rsid w:val="00867DC0"/>
    <w:rsid w:val="008706F6"/>
    <w:rsid w:val="00870A95"/>
    <w:rsid w:val="00870FB8"/>
    <w:rsid w:val="00870FD1"/>
    <w:rsid w:val="0087123B"/>
    <w:rsid w:val="008712D5"/>
    <w:rsid w:val="00871581"/>
    <w:rsid w:val="00871810"/>
    <w:rsid w:val="00871841"/>
    <w:rsid w:val="008719B6"/>
    <w:rsid w:val="00871ADF"/>
    <w:rsid w:val="00871BBC"/>
    <w:rsid w:val="00871C46"/>
    <w:rsid w:val="00871E0E"/>
    <w:rsid w:val="00872281"/>
    <w:rsid w:val="0087278F"/>
    <w:rsid w:val="00872A80"/>
    <w:rsid w:val="008732B9"/>
    <w:rsid w:val="008735E4"/>
    <w:rsid w:val="0087365A"/>
    <w:rsid w:val="00873AC6"/>
    <w:rsid w:val="00873AC7"/>
    <w:rsid w:val="00873AF7"/>
    <w:rsid w:val="00873B46"/>
    <w:rsid w:val="00873DB7"/>
    <w:rsid w:val="0087400E"/>
    <w:rsid w:val="008740EC"/>
    <w:rsid w:val="0087417A"/>
    <w:rsid w:val="00874537"/>
    <w:rsid w:val="00874542"/>
    <w:rsid w:val="00874754"/>
    <w:rsid w:val="0087477C"/>
    <w:rsid w:val="00874AE6"/>
    <w:rsid w:val="00874E9B"/>
    <w:rsid w:val="00875124"/>
    <w:rsid w:val="0087517B"/>
    <w:rsid w:val="0087573A"/>
    <w:rsid w:val="0087583B"/>
    <w:rsid w:val="00875BA7"/>
    <w:rsid w:val="00875D59"/>
    <w:rsid w:val="00876036"/>
    <w:rsid w:val="00876295"/>
    <w:rsid w:val="008763B1"/>
    <w:rsid w:val="00876698"/>
    <w:rsid w:val="008766D9"/>
    <w:rsid w:val="008768CB"/>
    <w:rsid w:val="00876BE2"/>
    <w:rsid w:val="00876F5E"/>
    <w:rsid w:val="008770E8"/>
    <w:rsid w:val="0087721C"/>
    <w:rsid w:val="00877307"/>
    <w:rsid w:val="008773DC"/>
    <w:rsid w:val="00877F16"/>
    <w:rsid w:val="00880B86"/>
    <w:rsid w:val="00880C0D"/>
    <w:rsid w:val="00880C5F"/>
    <w:rsid w:val="00880D59"/>
    <w:rsid w:val="00880DD5"/>
    <w:rsid w:val="0088119F"/>
    <w:rsid w:val="0088173F"/>
    <w:rsid w:val="0088183C"/>
    <w:rsid w:val="00881B71"/>
    <w:rsid w:val="0088247E"/>
    <w:rsid w:val="00882480"/>
    <w:rsid w:val="00882607"/>
    <w:rsid w:val="0088264C"/>
    <w:rsid w:val="0088289D"/>
    <w:rsid w:val="00882EB7"/>
    <w:rsid w:val="008831C9"/>
    <w:rsid w:val="00883317"/>
    <w:rsid w:val="008833E1"/>
    <w:rsid w:val="008839D8"/>
    <w:rsid w:val="00884160"/>
    <w:rsid w:val="008842F9"/>
    <w:rsid w:val="00884C76"/>
    <w:rsid w:val="00884D42"/>
    <w:rsid w:val="00884E15"/>
    <w:rsid w:val="00885245"/>
    <w:rsid w:val="008853F0"/>
    <w:rsid w:val="0088546B"/>
    <w:rsid w:val="00885A89"/>
    <w:rsid w:val="00885D27"/>
    <w:rsid w:val="00885DB8"/>
    <w:rsid w:val="00885E64"/>
    <w:rsid w:val="00885EAB"/>
    <w:rsid w:val="008861E1"/>
    <w:rsid w:val="00886595"/>
    <w:rsid w:val="008867EA"/>
    <w:rsid w:val="00886A36"/>
    <w:rsid w:val="00887039"/>
    <w:rsid w:val="00887399"/>
    <w:rsid w:val="008873BF"/>
    <w:rsid w:val="008873DE"/>
    <w:rsid w:val="008877FD"/>
    <w:rsid w:val="00887A93"/>
    <w:rsid w:val="00887DEA"/>
    <w:rsid w:val="00887EA6"/>
    <w:rsid w:val="00887EE4"/>
    <w:rsid w:val="008901BA"/>
    <w:rsid w:val="0089040D"/>
    <w:rsid w:val="0089058B"/>
    <w:rsid w:val="00890761"/>
    <w:rsid w:val="008909B9"/>
    <w:rsid w:val="00890E42"/>
    <w:rsid w:val="00890F9C"/>
    <w:rsid w:val="008913CA"/>
    <w:rsid w:val="00891649"/>
    <w:rsid w:val="0089213F"/>
    <w:rsid w:val="0089237E"/>
    <w:rsid w:val="008926F0"/>
    <w:rsid w:val="00892DE4"/>
    <w:rsid w:val="0089354E"/>
    <w:rsid w:val="0089388E"/>
    <w:rsid w:val="00893D43"/>
    <w:rsid w:val="00894349"/>
    <w:rsid w:val="008945F2"/>
    <w:rsid w:val="00894FEC"/>
    <w:rsid w:val="00895323"/>
    <w:rsid w:val="00895489"/>
    <w:rsid w:val="008958A0"/>
    <w:rsid w:val="00895C06"/>
    <w:rsid w:val="00896064"/>
    <w:rsid w:val="0089628D"/>
    <w:rsid w:val="0089639C"/>
    <w:rsid w:val="0089642E"/>
    <w:rsid w:val="008964CE"/>
    <w:rsid w:val="008968EF"/>
    <w:rsid w:val="00896ADB"/>
    <w:rsid w:val="00896C25"/>
    <w:rsid w:val="00896C4B"/>
    <w:rsid w:val="00896D8D"/>
    <w:rsid w:val="0089715E"/>
    <w:rsid w:val="0089761E"/>
    <w:rsid w:val="00897BEC"/>
    <w:rsid w:val="00897C9A"/>
    <w:rsid w:val="00897FA8"/>
    <w:rsid w:val="008A02DC"/>
    <w:rsid w:val="008A03F3"/>
    <w:rsid w:val="008A060F"/>
    <w:rsid w:val="008A1525"/>
    <w:rsid w:val="008A1641"/>
    <w:rsid w:val="008A16BE"/>
    <w:rsid w:val="008A1A43"/>
    <w:rsid w:val="008A1CA2"/>
    <w:rsid w:val="008A2433"/>
    <w:rsid w:val="008A2698"/>
    <w:rsid w:val="008A285C"/>
    <w:rsid w:val="008A2957"/>
    <w:rsid w:val="008A29B3"/>
    <w:rsid w:val="008A3034"/>
    <w:rsid w:val="008A3053"/>
    <w:rsid w:val="008A3154"/>
    <w:rsid w:val="008A3428"/>
    <w:rsid w:val="008A361C"/>
    <w:rsid w:val="008A3881"/>
    <w:rsid w:val="008A3AF3"/>
    <w:rsid w:val="008A3B7D"/>
    <w:rsid w:val="008A3DC4"/>
    <w:rsid w:val="008A4519"/>
    <w:rsid w:val="008A45A4"/>
    <w:rsid w:val="008A47A1"/>
    <w:rsid w:val="008A4991"/>
    <w:rsid w:val="008A4F7B"/>
    <w:rsid w:val="008A4F8D"/>
    <w:rsid w:val="008A5176"/>
    <w:rsid w:val="008A520D"/>
    <w:rsid w:val="008A5AC1"/>
    <w:rsid w:val="008A5B33"/>
    <w:rsid w:val="008A5BD5"/>
    <w:rsid w:val="008A5CB9"/>
    <w:rsid w:val="008A60D5"/>
    <w:rsid w:val="008A631F"/>
    <w:rsid w:val="008A67F9"/>
    <w:rsid w:val="008A692B"/>
    <w:rsid w:val="008A6B2C"/>
    <w:rsid w:val="008A6BB5"/>
    <w:rsid w:val="008A6CA4"/>
    <w:rsid w:val="008A6DAD"/>
    <w:rsid w:val="008A6DC6"/>
    <w:rsid w:val="008A7083"/>
    <w:rsid w:val="008A7213"/>
    <w:rsid w:val="008A7AA4"/>
    <w:rsid w:val="008A7F85"/>
    <w:rsid w:val="008B0057"/>
    <w:rsid w:val="008B07F4"/>
    <w:rsid w:val="008B08D2"/>
    <w:rsid w:val="008B0939"/>
    <w:rsid w:val="008B0A81"/>
    <w:rsid w:val="008B0BC3"/>
    <w:rsid w:val="008B1645"/>
    <w:rsid w:val="008B1E11"/>
    <w:rsid w:val="008B1EDE"/>
    <w:rsid w:val="008B1EEE"/>
    <w:rsid w:val="008B1FE3"/>
    <w:rsid w:val="008B20A8"/>
    <w:rsid w:val="008B263D"/>
    <w:rsid w:val="008B287B"/>
    <w:rsid w:val="008B2C87"/>
    <w:rsid w:val="008B2D08"/>
    <w:rsid w:val="008B305F"/>
    <w:rsid w:val="008B33A8"/>
    <w:rsid w:val="008B34D6"/>
    <w:rsid w:val="008B3D74"/>
    <w:rsid w:val="008B3E08"/>
    <w:rsid w:val="008B3F5C"/>
    <w:rsid w:val="008B420D"/>
    <w:rsid w:val="008B4234"/>
    <w:rsid w:val="008B459A"/>
    <w:rsid w:val="008B488B"/>
    <w:rsid w:val="008B4948"/>
    <w:rsid w:val="008B49FA"/>
    <w:rsid w:val="008B4A61"/>
    <w:rsid w:val="008B4CC1"/>
    <w:rsid w:val="008B544F"/>
    <w:rsid w:val="008B5846"/>
    <w:rsid w:val="008B59BE"/>
    <w:rsid w:val="008B5BDA"/>
    <w:rsid w:val="008B5D37"/>
    <w:rsid w:val="008B5F4F"/>
    <w:rsid w:val="008B607A"/>
    <w:rsid w:val="008B66E5"/>
    <w:rsid w:val="008B6A2A"/>
    <w:rsid w:val="008B6A5C"/>
    <w:rsid w:val="008B6CE6"/>
    <w:rsid w:val="008B71D1"/>
    <w:rsid w:val="008B7305"/>
    <w:rsid w:val="008B7531"/>
    <w:rsid w:val="008B774B"/>
    <w:rsid w:val="008B7B1B"/>
    <w:rsid w:val="008B7B6B"/>
    <w:rsid w:val="008B7B73"/>
    <w:rsid w:val="008B7D23"/>
    <w:rsid w:val="008C00B8"/>
    <w:rsid w:val="008C02F0"/>
    <w:rsid w:val="008C079F"/>
    <w:rsid w:val="008C0853"/>
    <w:rsid w:val="008C086E"/>
    <w:rsid w:val="008C0BD8"/>
    <w:rsid w:val="008C144F"/>
    <w:rsid w:val="008C19FD"/>
    <w:rsid w:val="008C1A3B"/>
    <w:rsid w:val="008C1A8F"/>
    <w:rsid w:val="008C1B94"/>
    <w:rsid w:val="008C1F58"/>
    <w:rsid w:val="008C218F"/>
    <w:rsid w:val="008C21AE"/>
    <w:rsid w:val="008C2B60"/>
    <w:rsid w:val="008C2F7B"/>
    <w:rsid w:val="008C3247"/>
    <w:rsid w:val="008C37B9"/>
    <w:rsid w:val="008C3969"/>
    <w:rsid w:val="008C3A53"/>
    <w:rsid w:val="008C3B6E"/>
    <w:rsid w:val="008C41F0"/>
    <w:rsid w:val="008C45CC"/>
    <w:rsid w:val="008C45F7"/>
    <w:rsid w:val="008C480A"/>
    <w:rsid w:val="008C4880"/>
    <w:rsid w:val="008C49A4"/>
    <w:rsid w:val="008C4A4F"/>
    <w:rsid w:val="008C5041"/>
    <w:rsid w:val="008C5236"/>
    <w:rsid w:val="008C574C"/>
    <w:rsid w:val="008C59BA"/>
    <w:rsid w:val="008C5CF6"/>
    <w:rsid w:val="008C61E0"/>
    <w:rsid w:val="008C68FB"/>
    <w:rsid w:val="008C6D76"/>
    <w:rsid w:val="008C6E8E"/>
    <w:rsid w:val="008C71A4"/>
    <w:rsid w:val="008C73C0"/>
    <w:rsid w:val="008C77B3"/>
    <w:rsid w:val="008C7EFA"/>
    <w:rsid w:val="008D0389"/>
    <w:rsid w:val="008D05CF"/>
    <w:rsid w:val="008D0AF8"/>
    <w:rsid w:val="008D10D6"/>
    <w:rsid w:val="008D1183"/>
    <w:rsid w:val="008D167A"/>
    <w:rsid w:val="008D18AA"/>
    <w:rsid w:val="008D206E"/>
    <w:rsid w:val="008D2387"/>
    <w:rsid w:val="008D252E"/>
    <w:rsid w:val="008D2E64"/>
    <w:rsid w:val="008D3290"/>
    <w:rsid w:val="008D375E"/>
    <w:rsid w:val="008D38FC"/>
    <w:rsid w:val="008D3BF3"/>
    <w:rsid w:val="008D478B"/>
    <w:rsid w:val="008D490B"/>
    <w:rsid w:val="008D4B92"/>
    <w:rsid w:val="008D4BA1"/>
    <w:rsid w:val="008D5254"/>
    <w:rsid w:val="008D550E"/>
    <w:rsid w:val="008D55C0"/>
    <w:rsid w:val="008D55EB"/>
    <w:rsid w:val="008D5FDB"/>
    <w:rsid w:val="008D6170"/>
    <w:rsid w:val="008D6182"/>
    <w:rsid w:val="008D6383"/>
    <w:rsid w:val="008D6662"/>
    <w:rsid w:val="008D67B5"/>
    <w:rsid w:val="008D6908"/>
    <w:rsid w:val="008D6A29"/>
    <w:rsid w:val="008D6E8B"/>
    <w:rsid w:val="008D7055"/>
    <w:rsid w:val="008D7194"/>
    <w:rsid w:val="008D7199"/>
    <w:rsid w:val="008D73BA"/>
    <w:rsid w:val="008D7890"/>
    <w:rsid w:val="008D789F"/>
    <w:rsid w:val="008D7A80"/>
    <w:rsid w:val="008E02BC"/>
    <w:rsid w:val="008E037A"/>
    <w:rsid w:val="008E03D8"/>
    <w:rsid w:val="008E043F"/>
    <w:rsid w:val="008E0517"/>
    <w:rsid w:val="008E0939"/>
    <w:rsid w:val="008E09F2"/>
    <w:rsid w:val="008E0AC2"/>
    <w:rsid w:val="008E0B49"/>
    <w:rsid w:val="008E0D17"/>
    <w:rsid w:val="008E1042"/>
    <w:rsid w:val="008E1A2A"/>
    <w:rsid w:val="008E1EB6"/>
    <w:rsid w:val="008E1F88"/>
    <w:rsid w:val="008E21BC"/>
    <w:rsid w:val="008E23C7"/>
    <w:rsid w:val="008E24BB"/>
    <w:rsid w:val="008E26C5"/>
    <w:rsid w:val="008E281D"/>
    <w:rsid w:val="008E2E78"/>
    <w:rsid w:val="008E2FEE"/>
    <w:rsid w:val="008E3656"/>
    <w:rsid w:val="008E37DB"/>
    <w:rsid w:val="008E399B"/>
    <w:rsid w:val="008E3A42"/>
    <w:rsid w:val="008E4198"/>
    <w:rsid w:val="008E44A9"/>
    <w:rsid w:val="008E44FA"/>
    <w:rsid w:val="008E4AE8"/>
    <w:rsid w:val="008E4DDC"/>
    <w:rsid w:val="008E4F20"/>
    <w:rsid w:val="008E54EE"/>
    <w:rsid w:val="008E5564"/>
    <w:rsid w:val="008E59E3"/>
    <w:rsid w:val="008E5B44"/>
    <w:rsid w:val="008E6203"/>
    <w:rsid w:val="008E63CD"/>
    <w:rsid w:val="008E640A"/>
    <w:rsid w:val="008E6B75"/>
    <w:rsid w:val="008E7394"/>
    <w:rsid w:val="008E73C1"/>
    <w:rsid w:val="008E78D6"/>
    <w:rsid w:val="008E79DB"/>
    <w:rsid w:val="008E7B31"/>
    <w:rsid w:val="008E7CF7"/>
    <w:rsid w:val="008E7FC1"/>
    <w:rsid w:val="008F06BF"/>
    <w:rsid w:val="008F071A"/>
    <w:rsid w:val="008F08D0"/>
    <w:rsid w:val="008F0C49"/>
    <w:rsid w:val="008F0DB7"/>
    <w:rsid w:val="008F1C4E"/>
    <w:rsid w:val="008F1EED"/>
    <w:rsid w:val="008F1FF2"/>
    <w:rsid w:val="008F202E"/>
    <w:rsid w:val="008F20A3"/>
    <w:rsid w:val="008F229B"/>
    <w:rsid w:val="008F2356"/>
    <w:rsid w:val="008F2689"/>
    <w:rsid w:val="008F2766"/>
    <w:rsid w:val="008F2F3E"/>
    <w:rsid w:val="008F2FA9"/>
    <w:rsid w:val="008F2FE9"/>
    <w:rsid w:val="008F33CA"/>
    <w:rsid w:val="008F4321"/>
    <w:rsid w:val="008F43E7"/>
    <w:rsid w:val="008F44B7"/>
    <w:rsid w:val="008F4B87"/>
    <w:rsid w:val="008F4CD2"/>
    <w:rsid w:val="008F4E2B"/>
    <w:rsid w:val="008F4F78"/>
    <w:rsid w:val="008F4F88"/>
    <w:rsid w:val="008F5146"/>
    <w:rsid w:val="008F516C"/>
    <w:rsid w:val="008F58DA"/>
    <w:rsid w:val="008F5901"/>
    <w:rsid w:val="008F5BDF"/>
    <w:rsid w:val="008F5FA2"/>
    <w:rsid w:val="008F628D"/>
    <w:rsid w:val="008F6847"/>
    <w:rsid w:val="008F6973"/>
    <w:rsid w:val="008F6D49"/>
    <w:rsid w:val="008F6E6C"/>
    <w:rsid w:val="008F6E9E"/>
    <w:rsid w:val="008F7091"/>
    <w:rsid w:val="008F710B"/>
    <w:rsid w:val="008F7155"/>
    <w:rsid w:val="008F726D"/>
    <w:rsid w:val="008F72CF"/>
    <w:rsid w:val="008F7A36"/>
    <w:rsid w:val="008F7B14"/>
    <w:rsid w:val="009006F3"/>
    <w:rsid w:val="00900937"/>
    <w:rsid w:val="00900D1D"/>
    <w:rsid w:val="00901269"/>
    <w:rsid w:val="00901A78"/>
    <w:rsid w:val="00901B86"/>
    <w:rsid w:val="00901B90"/>
    <w:rsid w:val="00901F14"/>
    <w:rsid w:val="00902074"/>
    <w:rsid w:val="009027A4"/>
    <w:rsid w:val="0090306A"/>
    <w:rsid w:val="0090315B"/>
    <w:rsid w:val="009033AD"/>
    <w:rsid w:val="009033D3"/>
    <w:rsid w:val="0090353B"/>
    <w:rsid w:val="0090367C"/>
    <w:rsid w:val="0090395E"/>
    <w:rsid w:val="00903A62"/>
    <w:rsid w:val="00903BE7"/>
    <w:rsid w:val="009043A9"/>
    <w:rsid w:val="00904464"/>
    <w:rsid w:val="009049FE"/>
    <w:rsid w:val="00904A18"/>
    <w:rsid w:val="00904AB3"/>
    <w:rsid w:val="00904D33"/>
    <w:rsid w:val="00904D9E"/>
    <w:rsid w:val="00905216"/>
    <w:rsid w:val="0090574F"/>
    <w:rsid w:val="009062CD"/>
    <w:rsid w:val="0090642F"/>
    <w:rsid w:val="009065E9"/>
    <w:rsid w:val="009067D5"/>
    <w:rsid w:val="00907568"/>
    <w:rsid w:val="0090780D"/>
    <w:rsid w:val="00907C04"/>
    <w:rsid w:val="00907C70"/>
    <w:rsid w:val="00907F7A"/>
    <w:rsid w:val="00907FAA"/>
    <w:rsid w:val="0091091B"/>
    <w:rsid w:val="00910D47"/>
    <w:rsid w:val="00911467"/>
    <w:rsid w:val="009116F4"/>
    <w:rsid w:val="00911A1D"/>
    <w:rsid w:val="00911EDE"/>
    <w:rsid w:val="00912309"/>
    <w:rsid w:val="00912350"/>
    <w:rsid w:val="00912597"/>
    <w:rsid w:val="009125C7"/>
    <w:rsid w:val="009129E9"/>
    <w:rsid w:val="00912A21"/>
    <w:rsid w:val="00912C2E"/>
    <w:rsid w:val="00912CEB"/>
    <w:rsid w:val="00912D1C"/>
    <w:rsid w:val="00912EFD"/>
    <w:rsid w:val="00913484"/>
    <w:rsid w:val="00913499"/>
    <w:rsid w:val="0091404F"/>
    <w:rsid w:val="009141B6"/>
    <w:rsid w:val="009142FE"/>
    <w:rsid w:val="00914718"/>
    <w:rsid w:val="00914782"/>
    <w:rsid w:val="00914816"/>
    <w:rsid w:val="00914A54"/>
    <w:rsid w:val="00914CDB"/>
    <w:rsid w:val="00914FC8"/>
    <w:rsid w:val="00915493"/>
    <w:rsid w:val="0091566C"/>
    <w:rsid w:val="00915754"/>
    <w:rsid w:val="00915A43"/>
    <w:rsid w:val="00916264"/>
    <w:rsid w:val="00916681"/>
    <w:rsid w:val="00916744"/>
    <w:rsid w:val="00916FB2"/>
    <w:rsid w:val="00917001"/>
    <w:rsid w:val="00917036"/>
    <w:rsid w:val="009176F8"/>
    <w:rsid w:val="00917C66"/>
    <w:rsid w:val="00917D49"/>
    <w:rsid w:val="00920216"/>
    <w:rsid w:val="00920C5D"/>
    <w:rsid w:val="00920E62"/>
    <w:rsid w:val="00920F02"/>
    <w:rsid w:val="009211BD"/>
    <w:rsid w:val="009211C7"/>
    <w:rsid w:val="009215EA"/>
    <w:rsid w:val="009216D5"/>
    <w:rsid w:val="00921D9F"/>
    <w:rsid w:val="00921EA3"/>
    <w:rsid w:val="00922098"/>
    <w:rsid w:val="00922A0F"/>
    <w:rsid w:val="00922C0E"/>
    <w:rsid w:val="00922D60"/>
    <w:rsid w:val="009233D9"/>
    <w:rsid w:val="009239E5"/>
    <w:rsid w:val="009243B8"/>
    <w:rsid w:val="009245F1"/>
    <w:rsid w:val="00924838"/>
    <w:rsid w:val="00924888"/>
    <w:rsid w:val="00925048"/>
    <w:rsid w:val="009253B4"/>
    <w:rsid w:val="009255F4"/>
    <w:rsid w:val="0092593C"/>
    <w:rsid w:val="009259C5"/>
    <w:rsid w:val="0092627D"/>
    <w:rsid w:val="0092647D"/>
    <w:rsid w:val="009264F2"/>
    <w:rsid w:val="009265E9"/>
    <w:rsid w:val="00926761"/>
    <w:rsid w:val="009267E9"/>
    <w:rsid w:val="00926BC4"/>
    <w:rsid w:val="00926F3C"/>
    <w:rsid w:val="00927111"/>
    <w:rsid w:val="009271F2"/>
    <w:rsid w:val="00927613"/>
    <w:rsid w:val="009276AD"/>
    <w:rsid w:val="009279F2"/>
    <w:rsid w:val="00927C04"/>
    <w:rsid w:val="00927D7B"/>
    <w:rsid w:val="0093031A"/>
    <w:rsid w:val="00930363"/>
    <w:rsid w:val="009304AD"/>
    <w:rsid w:val="00930818"/>
    <w:rsid w:val="00930AE9"/>
    <w:rsid w:val="009314D4"/>
    <w:rsid w:val="009314DD"/>
    <w:rsid w:val="00931620"/>
    <w:rsid w:val="009316BC"/>
    <w:rsid w:val="00931F78"/>
    <w:rsid w:val="00932156"/>
    <w:rsid w:val="00932E2D"/>
    <w:rsid w:val="00932FF5"/>
    <w:rsid w:val="00933092"/>
    <w:rsid w:val="00933155"/>
    <w:rsid w:val="00933172"/>
    <w:rsid w:val="0093318D"/>
    <w:rsid w:val="00933518"/>
    <w:rsid w:val="0093354A"/>
    <w:rsid w:val="00934032"/>
    <w:rsid w:val="00934054"/>
    <w:rsid w:val="009344DB"/>
    <w:rsid w:val="009349A6"/>
    <w:rsid w:val="00934E59"/>
    <w:rsid w:val="00935059"/>
    <w:rsid w:val="009353A3"/>
    <w:rsid w:val="0093584F"/>
    <w:rsid w:val="009358BE"/>
    <w:rsid w:val="00935918"/>
    <w:rsid w:val="00936011"/>
    <w:rsid w:val="00936A08"/>
    <w:rsid w:val="00936C14"/>
    <w:rsid w:val="00936E72"/>
    <w:rsid w:val="00936FC3"/>
    <w:rsid w:val="009370C4"/>
    <w:rsid w:val="00937347"/>
    <w:rsid w:val="009376AD"/>
    <w:rsid w:val="009378EF"/>
    <w:rsid w:val="00937B12"/>
    <w:rsid w:val="00937B33"/>
    <w:rsid w:val="00937CEC"/>
    <w:rsid w:val="00940316"/>
    <w:rsid w:val="00940372"/>
    <w:rsid w:val="009404D6"/>
    <w:rsid w:val="00940519"/>
    <w:rsid w:val="00940DDD"/>
    <w:rsid w:val="00941287"/>
    <w:rsid w:val="00941358"/>
    <w:rsid w:val="00941696"/>
    <w:rsid w:val="009417BA"/>
    <w:rsid w:val="00941817"/>
    <w:rsid w:val="00941D2C"/>
    <w:rsid w:val="009421E4"/>
    <w:rsid w:val="009424E2"/>
    <w:rsid w:val="009426EC"/>
    <w:rsid w:val="009427FB"/>
    <w:rsid w:val="00942C42"/>
    <w:rsid w:val="00942C91"/>
    <w:rsid w:val="00942F9D"/>
    <w:rsid w:val="00942FBE"/>
    <w:rsid w:val="00943356"/>
    <w:rsid w:val="009433D3"/>
    <w:rsid w:val="00943404"/>
    <w:rsid w:val="00943490"/>
    <w:rsid w:val="009437A6"/>
    <w:rsid w:val="0094388A"/>
    <w:rsid w:val="00944288"/>
    <w:rsid w:val="00944483"/>
    <w:rsid w:val="009447C4"/>
    <w:rsid w:val="00944F9E"/>
    <w:rsid w:val="009453F7"/>
    <w:rsid w:val="00945453"/>
    <w:rsid w:val="0094590B"/>
    <w:rsid w:val="00946088"/>
    <w:rsid w:val="009460CE"/>
    <w:rsid w:val="0094642E"/>
    <w:rsid w:val="00946990"/>
    <w:rsid w:val="00946AB0"/>
    <w:rsid w:val="00947006"/>
    <w:rsid w:val="009471A2"/>
    <w:rsid w:val="009474F4"/>
    <w:rsid w:val="0094797F"/>
    <w:rsid w:val="00947CD5"/>
    <w:rsid w:val="00947EE1"/>
    <w:rsid w:val="00950590"/>
    <w:rsid w:val="00950803"/>
    <w:rsid w:val="00950F6B"/>
    <w:rsid w:val="00951226"/>
    <w:rsid w:val="00951277"/>
    <w:rsid w:val="0095157A"/>
    <w:rsid w:val="009515C9"/>
    <w:rsid w:val="00951913"/>
    <w:rsid w:val="00951C7C"/>
    <w:rsid w:val="00952A13"/>
    <w:rsid w:val="00952A46"/>
    <w:rsid w:val="00952AC3"/>
    <w:rsid w:val="00952C30"/>
    <w:rsid w:val="00952C42"/>
    <w:rsid w:val="00952EA1"/>
    <w:rsid w:val="00953C23"/>
    <w:rsid w:val="00953DC5"/>
    <w:rsid w:val="0095405F"/>
    <w:rsid w:val="00954BB0"/>
    <w:rsid w:val="00954F40"/>
    <w:rsid w:val="00954F65"/>
    <w:rsid w:val="009551B7"/>
    <w:rsid w:val="009553AF"/>
    <w:rsid w:val="0095577C"/>
    <w:rsid w:val="00955854"/>
    <w:rsid w:val="00955986"/>
    <w:rsid w:val="00955BA0"/>
    <w:rsid w:val="00955BFE"/>
    <w:rsid w:val="00955EC1"/>
    <w:rsid w:val="00956598"/>
    <w:rsid w:val="009565CA"/>
    <w:rsid w:val="0095702C"/>
    <w:rsid w:val="009571B5"/>
    <w:rsid w:val="00957384"/>
    <w:rsid w:val="00957425"/>
    <w:rsid w:val="0095758D"/>
    <w:rsid w:val="00957AEC"/>
    <w:rsid w:val="00960002"/>
    <w:rsid w:val="009601BE"/>
    <w:rsid w:val="009603B9"/>
    <w:rsid w:val="009603BC"/>
    <w:rsid w:val="009603DE"/>
    <w:rsid w:val="009605ED"/>
    <w:rsid w:val="00960CCC"/>
    <w:rsid w:val="009619C5"/>
    <w:rsid w:val="00961A61"/>
    <w:rsid w:val="00962184"/>
    <w:rsid w:val="00962606"/>
    <w:rsid w:val="009628E1"/>
    <w:rsid w:val="00962D32"/>
    <w:rsid w:val="0096306B"/>
    <w:rsid w:val="0096355C"/>
    <w:rsid w:val="009637F8"/>
    <w:rsid w:val="0096381E"/>
    <w:rsid w:val="00963F2B"/>
    <w:rsid w:val="009640A5"/>
    <w:rsid w:val="00964244"/>
    <w:rsid w:val="009642B3"/>
    <w:rsid w:val="00964515"/>
    <w:rsid w:val="00964659"/>
    <w:rsid w:val="009646D3"/>
    <w:rsid w:val="009646FB"/>
    <w:rsid w:val="009647D2"/>
    <w:rsid w:val="00964BC7"/>
    <w:rsid w:val="009652B8"/>
    <w:rsid w:val="009655B0"/>
    <w:rsid w:val="009658C9"/>
    <w:rsid w:val="0096594C"/>
    <w:rsid w:val="009659B9"/>
    <w:rsid w:val="00965C86"/>
    <w:rsid w:val="00966213"/>
    <w:rsid w:val="0096679A"/>
    <w:rsid w:val="009667AE"/>
    <w:rsid w:val="00966C72"/>
    <w:rsid w:val="00966F9F"/>
    <w:rsid w:val="009672C0"/>
    <w:rsid w:val="009672F8"/>
    <w:rsid w:val="0096763D"/>
    <w:rsid w:val="00967AD5"/>
    <w:rsid w:val="00967C10"/>
    <w:rsid w:val="00967E9A"/>
    <w:rsid w:val="0097002A"/>
    <w:rsid w:val="0097002E"/>
    <w:rsid w:val="009703D2"/>
    <w:rsid w:val="00970672"/>
    <w:rsid w:val="009708DF"/>
    <w:rsid w:val="0097097A"/>
    <w:rsid w:val="00970C32"/>
    <w:rsid w:val="00970F69"/>
    <w:rsid w:val="00971122"/>
    <w:rsid w:val="00971399"/>
    <w:rsid w:val="009713FF"/>
    <w:rsid w:val="009716B8"/>
    <w:rsid w:val="00971890"/>
    <w:rsid w:val="00971A21"/>
    <w:rsid w:val="00971D0F"/>
    <w:rsid w:val="00971FD2"/>
    <w:rsid w:val="0097227B"/>
    <w:rsid w:val="0097280E"/>
    <w:rsid w:val="00972838"/>
    <w:rsid w:val="00972A87"/>
    <w:rsid w:val="00972CC0"/>
    <w:rsid w:val="009730C6"/>
    <w:rsid w:val="00973327"/>
    <w:rsid w:val="009739ED"/>
    <w:rsid w:val="00973FDE"/>
    <w:rsid w:val="009747C5"/>
    <w:rsid w:val="00974CE9"/>
    <w:rsid w:val="00974E6E"/>
    <w:rsid w:val="00974F49"/>
    <w:rsid w:val="009753F3"/>
    <w:rsid w:val="00975452"/>
    <w:rsid w:val="0097564B"/>
    <w:rsid w:val="009756AF"/>
    <w:rsid w:val="0097570A"/>
    <w:rsid w:val="00975A53"/>
    <w:rsid w:val="00975CC4"/>
    <w:rsid w:val="00975ED9"/>
    <w:rsid w:val="0097634A"/>
    <w:rsid w:val="00976357"/>
    <w:rsid w:val="0097638C"/>
    <w:rsid w:val="0097639E"/>
    <w:rsid w:val="009763D5"/>
    <w:rsid w:val="00976C3C"/>
    <w:rsid w:val="00976C68"/>
    <w:rsid w:val="00976F0D"/>
    <w:rsid w:val="0097739A"/>
    <w:rsid w:val="009777AB"/>
    <w:rsid w:val="00977865"/>
    <w:rsid w:val="00977EF5"/>
    <w:rsid w:val="0098010B"/>
    <w:rsid w:val="00980284"/>
    <w:rsid w:val="00980486"/>
    <w:rsid w:val="0098062B"/>
    <w:rsid w:val="009807A4"/>
    <w:rsid w:val="00980B26"/>
    <w:rsid w:val="00980B6A"/>
    <w:rsid w:val="00980C2F"/>
    <w:rsid w:val="00980D28"/>
    <w:rsid w:val="009810F7"/>
    <w:rsid w:val="009814F4"/>
    <w:rsid w:val="00981518"/>
    <w:rsid w:val="009818BE"/>
    <w:rsid w:val="00981B6B"/>
    <w:rsid w:val="00981EF2"/>
    <w:rsid w:val="009821B0"/>
    <w:rsid w:val="0098230A"/>
    <w:rsid w:val="00982BFC"/>
    <w:rsid w:val="00982E65"/>
    <w:rsid w:val="0098326A"/>
    <w:rsid w:val="00983CD4"/>
    <w:rsid w:val="00983E78"/>
    <w:rsid w:val="00984270"/>
    <w:rsid w:val="0098429E"/>
    <w:rsid w:val="0098504F"/>
    <w:rsid w:val="0098509F"/>
    <w:rsid w:val="00985623"/>
    <w:rsid w:val="0098590C"/>
    <w:rsid w:val="0098599B"/>
    <w:rsid w:val="00985B06"/>
    <w:rsid w:val="00985B14"/>
    <w:rsid w:val="00985F32"/>
    <w:rsid w:val="009860E8"/>
    <w:rsid w:val="009861AE"/>
    <w:rsid w:val="009861D6"/>
    <w:rsid w:val="009863E8"/>
    <w:rsid w:val="009866CB"/>
    <w:rsid w:val="00986725"/>
    <w:rsid w:val="00986742"/>
    <w:rsid w:val="0098683A"/>
    <w:rsid w:val="0098756E"/>
    <w:rsid w:val="009877E5"/>
    <w:rsid w:val="0098788F"/>
    <w:rsid w:val="00987B5F"/>
    <w:rsid w:val="00990486"/>
    <w:rsid w:val="009904EE"/>
    <w:rsid w:val="0099081D"/>
    <w:rsid w:val="00990826"/>
    <w:rsid w:val="00990862"/>
    <w:rsid w:val="009908CF"/>
    <w:rsid w:val="009914F1"/>
    <w:rsid w:val="00991938"/>
    <w:rsid w:val="00991A34"/>
    <w:rsid w:val="00991A9E"/>
    <w:rsid w:val="00991C61"/>
    <w:rsid w:val="0099238F"/>
    <w:rsid w:val="0099249F"/>
    <w:rsid w:val="00992664"/>
    <w:rsid w:val="00992980"/>
    <w:rsid w:val="00992E20"/>
    <w:rsid w:val="009930C2"/>
    <w:rsid w:val="0099348A"/>
    <w:rsid w:val="009935EA"/>
    <w:rsid w:val="009936EE"/>
    <w:rsid w:val="009938DB"/>
    <w:rsid w:val="00993EAC"/>
    <w:rsid w:val="00994024"/>
    <w:rsid w:val="009948C3"/>
    <w:rsid w:val="00994992"/>
    <w:rsid w:val="009949DA"/>
    <w:rsid w:val="00994AD0"/>
    <w:rsid w:val="00994C96"/>
    <w:rsid w:val="00994E1B"/>
    <w:rsid w:val="00994FA3"/>
    <w:rsid w:val="009952D2"/>
    <w:rsid w:val="009952E9"/>
    <w:rsid w:val="0099545A"/>
    <w:rsid w:val="00995670"/>
    <w:rsid w:val="00995CD0"/>
    <w:rsid w:val="00995EE9"/>
    <w:rsid w:val="009960DA"/>
    <w:rsid w:val="00996432"/>
    <w:rsid w:val="009965A5"/>
    <w:rsid w:val="009969BB"/>
    <w:rsid w:val="00996A9C"/>
    <w:rsid w:val="00996B20"/>
    <w:rsid w:val="00996D0B"/>
    <w:rsid w:val="009973A5"/>
    <w:rsid w:val="00997CC1"/>
    <w:rsid w:val="00997E3A"/>
    <w:rsid w:val="009A009B"/>
    <w:rsid w:val="009A06DD"/>
    <w:rsid w:val="009A0824"/>
    <w:rsid w:val="009A0888"/>
    <w:rsid w:val="009A0899"/>
    <w:rsid w:val="009A099A"/>
    <w:rsid w:val="009A0BC1"/>
    <w:rsid w:val="009A0C34"/>
    <w:rsid w:val="009A0CFB"/>
    <w:rsid w:val="009A0E34"/>
    <w:rsid w:val="009A13F5"/>
    <w:rsid w:val="009A1647"/>
    <w:rsid w:val="009A18E8"/>
    <w:rsid w:val="009A219A"/>
    <w:rsid w:val="009A267E"/>
    <w:rsid w:val="009A2A8B"/>
    <w:rsid w:val="009A2C63"/>
    <w:rsid w:val="009A3501"/>
    <w:rsid w:val="009A3889"/>
    <w:rsid w:val="009A3AC4"/>
    <w:rsid w:val="009A3E64"/>
    <w:rsid w:val="009A3EE0"/>
    <w:rsid w:val="009A44E0"/>
    <w:rsid w:val="009A4BCA"/>
    <w:rsid w:val="009A4FA4"/>
    <w:rsid w:val="009A535A"/>
    <w:rsid w:val="009A53AF"/>
    <w:rsid w:val="009A5495"/>
    <w:rsid w:val="009A55F8"/>
    <w:rsid w:val="009A5867"/>
    <w:rsid w:val="009A5D59"/>
    <w:rsid w:val="009A5F9E"/>
    <w:rsid w:val="009A5FA6"/>
    <w:rsid w:val="009A6131"/>
    <w:rsid w:val="009A6693"/>
    <w:rsid w:val="009A6C3E"/>
    <w:rsid w:val="009A6D65"/>
    <w:rsid w:val="009A76E0"/>
    <w:rsid w:val="009A774E"/>
    <w:rsid w:val="009B00C0"/>
    <w:rsid w:val="009B05B5"/>
    <w:rsid w:val="009B0794"/>
    <w:rsid w:val="009B10A7"/>
    <w:rsid w:val="009B1339"/>
    <w:rsid w:val="009B1524"/>
    <w:rsid w:val="009B15A2"/>
    <w:rsid w:val="009B1701"/>
    <w:rsid w:val="009B1764"/>
    <w:rsid w:val="009B1796"/>
    <w:rsid w:val="009B1A8D"/>
    <w:rsid w:val="009B1F0A"/>
    <w:rsid w:val="009B2050"/>
    <w:rsid w:val="009B20CE"/>
    <w:rsid w:val="009B2D49"/>
    <w:rsid w:val="009B2DC8"/>
    <w:rsid w:val="009B2E53"/>
    <w:rsid w:val="009B33AD"/>
    <w:rsid w:val="009B3439"/>
    <w:rsid w:val="009B350C"/>
    <w:rsid w:val="009B3685"/>
    <w:rsid w:val="009B3B19"/>
    <w:rsid w:val="009B3B4B"/>
    <w:rsid w:val="009B3BCA"/>
    <w:rsid w:val="009B3C6F"/>
    <w:rsid w:val="009B3CFD"/>
    <w:rsid w:val="009B3F28"/>
    <w:rsid w:val="009B419A"/>
    <w:rsid w:val="009B41B6"/>
    <w:rsid w:val="009B4284"/>
    <w:rsid w:val="009B42E2"/>
    <w:rsid w:val="009B45E3"/>
    <w:rsid w:val="009B47FC"/>
    <w:rsid w:val="009B48D5"/>
    <w:rsid w:val="009B4B52"/>
    <w:rsid w:val="009B4E96"/>
    <w:rsid w:val="009B5234"/>
    <w:rsid w:val="009B5369"/>
    <w:rsid w:val="009B59B4"/>
    <w:rsid w:val="009B5EE4"/>
    <w:rsid w:val="009B61B8"/>
    <w:rsid w:val="009B6273"/>
    <w:rsid w:val="009B654B"/>
    <w:rsid w:val="009B67B4"/>
    <w:rsid w:val="009B6F52"/>
    <w:rsid w:val="009B75AC"/>
    <w:rsid w:val="009B762C"/>
    <w:rsid w:val="009B7A2E"/>
    <w:rsid w:val="009C00B0"/>
    <w:rsid w:val="009C02FE"/>
    <w:rsid w:val="009C053E"/>
    <w:rsid w:val="009C06A7"/>
    <w:rsid w:val="009C0BA9"/>
    <w:rsid w:val="009C0C5A"/>
    <w:rsid w:val="009C1086"/>
    <w:rsid w:val="009C10B2"/>
    <w:rsid w:val="009C14E3"/>
    <w:rsid w:val="009C17F1"/>
    <w:rsid w:val="009C1982"/>
    <w:rsid w:val="009C1D7A"/>
    <w:rsid w:val="009C203E"/>
    <w:rsid w:val="009C2184"/>
    <w:rsid w:val="009C2219"/>
    <w:rsid w:val="009C231D"/>
    <w:rsid w:val="009C2C84"/>
    <w:rsid w:val="009C2CCD"/>
    <w:rsid w:val="009C2E0B"/>
    <w:rsid w:val="009C2E15"/>
    <w:rsid w:val="009C3227"/>
    <w:rsid w:val="009C35AD"/>
    <w:rsid w:val="009C3730"/>
    <w:rsid w:val="009C461F"/>
    <w:rsid w:val="009C5661"/>
    <w:rsid w:val="009C579E"/>
    <w:rsid w:val="009C5AF2"/>
    <w:rsid w:val="009C5C82"/>
    <w:rsid w:val="009C5EF1"/>
    <w:rsid w:val="009C5F41"/>
    <w:rsid w:val="009C6357"/>
    <w:rsid w:val="009C63DB"/>
    <w:rsid w:val="009C64DA"/>
    <w:rsid w:val="009C6511"/>
    <w:rsid w:val="009C71D4"/>
    <w:rsid w:val="009C74DE"/>
    <w:rsid w:val="009C7E43"/>
    <w:rsid w:val="009D01DB"/>
    <w:rsid w:val="009D037B"/>
    <w:rsid w:val="009D07A7"/>
    <w:rsid w:val="009D0835"/>
    <w:rsid w:val="009D0C0A"/>
    <w:rsid w:val="009D0C42"/>
    <w:rsid w:val="009D0F2F"/>
    <w:rsid w:val="009D0FE1"/>
    <w:rsid w:val="009D126C"/>
    <w:rsid w:val="009D14CB"/>
    <w:rsid w:val="009D1C9D"/>
    <w:rsid w:val="009D2304"/>
    <w:rsid w:val="009D2C59"/>
    <w:rsid w:val="009D2D03"/>
    <w:rsid w:val="009D32B3"/>
    <w:rsid w:val="009D3399"/>
    <w:rsid w:val="009D376F"/>
    <w:rsid w:val="009D381E"/>
    <w:rsid w:val="009D3F9E"/>
    <w:rsid w:val="009D4188"/>
    <w:rsid w:val="009D419F"/>
    <w:rsid w:val="009D424F"/>
    <w:rsid w:val="009D4551"/>
    <w:rsid w:val="009D49C7"/>
    <w:rsid w:val="009D4B82"/>
    <w:rsid w:val="009D4BBB"/>
    <w:rsid w:val="009D4E41"/>
    <w:rsid w:val="009D4F4F"/>
    <w:rsid w:val="009D51F3"/>
    <w:rsid w:val="009D527C"/>
    <w:rsid w:val="009D5346"/>
    <w:rsid w:val="009D53FF"/>
    <w:rsid w:val="009D5480"/>
    <w:rsid w:val="009D5A53"/>
    <w:rsid w:val="009D5ABA"/>
    <w:rsid w:val="009D5D11"/>
    <w:rsid w:val="009D5EE1"/>
    <w:rsid w:val="009D6115"/>
    <w:rsid w:val="009D650A"/>
    <w:rsid w:val="009D692C"/>
    <w:rsid w:val="009D6F10"/>
    <w:rsid w:val="009D70E4"/>
    <w:rsid w:val="009D72E6"/>
    <w:rsid w:val="009D745B"/>
    <w:rsid w:val="009D765E"/>
    <w:rsid w:val="009D7A9B"/>
    <w:rsid w:val="009D7C30"/>
    <w:rsid w:val="009D7ED2"/>
    <w:rsid w:val="009E0047"/>
    <w:rsid w:val="009E0355"/>
    <w:rsid w:val="009E0470"/>
    <w:rsid w:val="009E0D2C"/>
    <w:rsid w:val="009E101B"/>
    <w:rsid w:val="009E1276"/>
    <w:rsid w:val="009E1A01"/>
    <w:rsid w:val="009E1BC8"/>
    <w:rsid w:val="009E1D72"/>
    <w:rsid w:val="009E1E85"/>
    <w:rsid w:val="009E2035"/>
    <w:rsid w:val="009E205F"/>
    <w:rsid w:val="009E2191"/>
    <w:rsid w:val="009E2651"/>
    <w:rsid w:val="009E275C"/>
    <w:rsid w:val="009E3CA4"/>
    <w:rsid w:val="009E3E82"/>
    <w:rsid w:val="009E4234"/>
    <w:rsid w:val="009E448F"/>
    <w:rsid w:val="009E45FE"/>
    <w:rsid w:val="009E4686"/>
    <w:rsid w:val="009E4A37"/>
    <w:rsid w:val="009E4BD5"/>
    <w:rsid w:val="009E4F0B"/>
    <w:rsid w:val="009E5317"/>
    <w:rsid w:val="009E58EA"/>
    <w:rsid w:val="009E5EB7"/>
    <w:rsid w:val="009E5FF1"/>
    <w:rsid w:val="009E6234"/>
    <w:rsid w:val="009E633B"/>
    <w:rsid w:val="009E64BA"/>
    <w:rsid w:val="009E65B1"/>
    <w:rsid w:val="009E6722"/>
    <w:rsid w:val="009E67C8"/>
    <w:rsid w:val="009E6870"/>
    <w:rsid w:val="009E7127"/>
    <w:rsid w:val="009E716F"/>
    <w:rsid w:val="009E738E"/>
    <w:rsid w:val="009E7394"/>
    <w:rsid w:val="009E75FC"/>
    <w:rsid w:val="009E774D"/>
    <w:rsid w:val="009E7936"/>
    <w:rsid w:val="009E7B7F"/>
    <w:rsid w:val="009E7C5D"/>
    <w:rsid w:val="009E7FC7"/>
    <w:rsid w:val="009F00D6"/>
    <w:rsid w:val="009F01D2"/>
    <w:rsid w:val="009F0812"/>
    <w:rsid w:val="009F0908"/>
    <w:rsid w:val="009F0D71"/>
    <w:rsid w:val="009F15E6"/>
    <w:rsid w:val="009F1EAF"/>
    <w:rsid w:val="009F2235"/>
    <w:rsid w:val="009F27D9"/>
    <w:rsid w:val="009F2D00"/>
    <w:rsid w:val="009F2D21"/>
    <w:rsid w:val="009F33CB"/>
    <w:rsid w:val="009F3760"/>
    <w:rsid w:val="009F38F4"/>
    <w:rsid w:val="009F39FB"/>
    <w:rsid w:val="009F3C4E"/>
    <w:rsid w:val="009F3EA8"/>
    <w:rsid w:val="009F4315"/>
    <w:rsid w:val="009F435E"/>
    <w:rsid w:val="009F44C2"/>
    <w:rsid w:val="009F4550"/>
    <w:rsid w:val="009F46EB"/>
    <w:rsid w:val="009F4F56"/>
    <w:rsid w:val="009F51E5"/>
    <w:rsid w:val="009F51F0"/>
    <w:rsid w:val="009F5672"/>
    <w:rsid w:val="009F57D1"/>
    <w:rsid w:val="009F57E8"/>
    <w:rsid w:val="009F5C9B"/>
    <w:rsid w:val="009F5D86"/>
    <w:rsid w:val="009F6121"/>
    <w:rsid w:val="009F62DE"/>
    <w:rsid w:val="009F63A4"/>
    <w:rsid w:val="009F6849"/>
    <w:rsid w:val="009F75F5"/>
    <w:rsid w:val="009F768B"/>
    <w:rsid w:val="009F7B37"/>
    <w:rsid w:val="009F7B6F"/>
    <w:rsid w:val="00A00069"/>
    <w:rsid w:val="00A00618"/>
    <w:rsid w:val="00A009D8"/>
    <w:rsid w:val="00A00AA3"/>
    <w:rsid w:val="00A012F5"/>
    <w:rsid w:val="00A01A79"/>
    <w:rsid w:val="00A021C1"/>
    <w:rsid w:val="00A02317"/>
    <w:rsid w:val="00A02757"/>
    <w:rsid w:val="00A02829"/>
    <w:rsid w:val="00A0288E"/>
    <w:rsid w:val="00A02CC2"/>
    <w:rsid w:val="00A0321F"/>
    <w:rsid w:val="00A032AE"/>
    <w:rsid w:val="00A033EB"/>
    <w:rsid w:val="00A03505"/>
    <w:rsid w:val="00A036D6"/>
    <w:rsid w:val="00A03BBD"/>
    <w:rsid w:val="00A03F4F"/>
    <w:rsid w:val="00A041B2"/>
    <w:rsid w:val="00A04391"/>
    <w:rsid w:val="00A0485E"/>
    <w:rsid w:val="00A04E70"/>
    <w:rsid w:val="00A0517A"/>
    <w:rsid w:val="00A0524E"/>
    <w:rsid w:val="00A0532B"/>
    <w:rsid w:val="00A05AF6"/>
    <w:rsid w:val="00A05C17"/>
    <w:rsid w:val="00A05D1D"/>
    <w:rsid w:val="00A05D91"/>
    <w:rsid w:val="00A062E6"/>
    <w:rsid w:val="00A0643B"/>
    <w:rsid w:val="00A06500"/>
    <w:rsid w:val="00A06A44"/>
    <w:rsid w:val="00A06D0F"/>
    <w:rsid w:val="00A0727B"/>
    <w:rsid w:val="00A072A4"/>
    <w:rsid w:val="00A074E9"/>
    <w:rsid w:val="00A10287"/>
    <w:rsid w:val="00A10673"/>
    <w:rsid w:val="00A10C0E"/>
    <w:rsid w:val="00A10C2E"/>
    <w:rsid w:val="00A10C4A"/>
    <w:rsid w:val="00A10E6A"/>
    <w:rsid w:val="00A10F23"/>
    <w:rsid w:val="00A110DE"/>
    <w:rsid w:val="00A11B07"/>
    <w:rsid w:val="00A11EC9"/>
    <w:rsid w:val="00A12447"/>
    <w:rsid w:val="00A125A4"/>
    <w:rsid w:val="00A126CA"/>
    <w:rsid w:val="00A1274D"/>
    <w:rsid w:val="00A12A96"/>
    <w:rsid w:val="00A12AA0"/>
    <w:rsid w:val="00A13871"/>
    <w:rsid w:val="00A13AB5"/>
    <w:rsid w:val="00A13B30"/>
    <w:rsid w:val="00A142D9"/>
    <w:rsid w:val="00A1430D"/>
    <w:rsid w:val="00A1437A"/>
    <w:rsid w:val="00A1445E"/>
    <w:rsid w:val="00A149D0"/>
    <w:rsid w:val="00A14DB2"/>
    <w:rsid w:val="00A1555E"/>
    <w:rsid w:val="00A1555F"/>
    <w:rsid w:val="00A1572E"/>
    <w:rsid w:val="00A157A0"/>
    <w:rsid w:val="00A15B12"/>
    <w:rsid w:val="00A15B23"/>
    <w:rsid w:val="00A15DB4"/>
    <w:rsid w:val="00A15F75"/>
    <w:rsid w:val="00A16134"/>
    <w:rsid w:val="00A162B6"/>
    <w:rsid w:val="00A1638A"/>
    <w:rsid w:val="00A16400"/>
    <w:rsid w:val="00A16558"/>
    <w:rsid w:val="00A16BB4"/>
    <w:rsid w:val="00A17362"/>
    <w:rsid w:val="00A17824"/>
    <w:rsid w:val="00A17A13"/>
    <w:rsid w:val="00A17A9F"/>
    <w:rsid w:val="00A17D59"/>
    <w:rsid w:val="00A20063"/>
    <w:rsid w:val="00A20796"/>
    <w:rsid w:val="00A20C55"/>
    <w:rsid w:val="00A20C7F"/>
    <w:rsid w:val="00A20CA1"/>
    <w:rsid w:val="00A2142A"/>
    <w:rsid w:val="00A214C6"/>
    <w:rsid w:val="00A2166E"/>
    <w:rsid w:val="00A2167E"/>
    <w:rsid w:val="00A216B7"/>
    <w:rsid w:val="00A21FF8"/>
    <w:rsid w:val="00A2278B"/>
    <w:rsid w:val="00A22B40"/>
    <w:rsid w:val="00A22B8E"/>
    <w:rsid w:val="00A23772"/>
    <w:rsid w:val="00A23B88"/>
    <w:rsid w:val="00A24580"/>
    <w:rsid w:val="00A24738"/>
    <w:rsid w:val="00A24E05"/>
    <w:rsid w:val="00A258C1"/>
    <w:rsid w:val="00A2592A"/>
    <w:rsid w:val="00A26506"/>
    <w:rsid w:val="00A26BCF"/>
    <w:rsid w:val="00A26C20"/>
    <w:rsid w:val="00A2742C"/>
    <w:rsid w:val="00A27519"/>
    <w:rsid w:val="00A2771A"/>
    <w:rsid w:val="00A278BE"/>
    <w:rsid w:val="00A3016F"/>
    <w:rsid w:val="00A302BD"/>
    <w:rsid w:val="00A30338"/>
    <w:rsid w:val="00A3036C"/>
    <w:rsid w:val="00A30559"/>
    <w:rsid w:val="00A3062F"/>
    <w:rsid w:val="00A30777"/>
    <w:rsid w:val="00A30AF6"/>
    <w:rsid w:val="00A30B9F"/>
    <w:rsid w:val="00A30C89"/>
    <w:rsid w:val="00A30CB1"/>
    <w:rsid w:val="00A30FAB"/>
    <w:rsid w:val="00A31233"/>
    <w:rsid w:val="00A313ED"/>
    <w:rsid w:val="00A31D2A"/>
    <w:rsid w:val="00A322EB"/>
    <w:rsid w:val="00A323BE"/>
    <w:rsid w:val="00A323D2"/>
    <w:rsid w:val="00A32E6E"/>
    <w:rsid w:val="00A330E9"/>
    <w:rsid w:val="00A33823"/>
    <w:rsid w:val="00A3390D"/>
    <w:rsid w:val="00A33ADF"/>
    <w:rsid w:val="00A33C36"/>
    <w:rsid w:val="00A33E52"/>
    <w:rsid w:val="00A3401D"/>
    <w:rsid w:val="00A34138"/>
    <w:rsid w:val="00A3418D"/>
    <w:rsid w:val="00A345C6"/>
    <w:rsid w:val="00A35221"/>
    <w:rsid w:val="00A35408"/>
    <w:rsid w:val="00A358F3"/>
    <w:rsid w:val="00A35FC1"/>
    <w:rsid w:val="00A36403"/>
    <w:rsid w:val="00A36590"/>
    <w:rsid w:val="00A36BE8"/>
    <w:rsid w:val="00A36D76"/>
    <w:rsid w:val="00A376B6"/>
    <w:rsid w:val="00A377C2"/>
    <w:rsid w:val="00A378BF"/>
    <w:rsid w:val="00A37D8E"/>
    <w:rsid w:val="00A37DB4"/>
    <w:rsid w:val="00A37E06"/>
    <w:rsid w:val="00A40257"/>
    <w:rsid w:val="00A402D3"/>
    <w:rsid w:val="00A40409"/>
    <w:rsid w:val="00A40612"/>
    <w:rsid w:val="00A40793"/>
    <w:rsid w:val="00A408AC"/>
    <w:rsid w:val="00A40AF1"/>
    <w:rsid w:val="00A40D6E"/>
    <w:rsid w:val="00A410DF"/>
    <w:rsid w:val="00A4167E"/>
    <w:rsid w:val="00A417FA"/>
    <w:rsid w:val="00A41D8C"/>
    <w:rsid w:val="00A4220D"/>
    <w:rsid w:val="00A42219"/>
    <w:rsid w:val="00A423AD"/>
    <w:rsid w:val="00A42839"/>
    <w:rsid w:val="00A42A4B"/>
    <w:rsid w:val="00A42C8D"/>
    <w:rsid w:val="00A42FA2"/>
    <w:rsid w:val="00A431D7"/>
    <w:rsid w:val="00A4328B"/>
    <w:rsid w:val="00A43310"/>
    <w:rsid w:val="00A433EB"/>
    <w:rsid w:val="00A43A22"/>
    <w:rsid w:val="00A43FBE"/>
    <w:rsid w:val="00A44047"/>
    <w:rsid w:val="00A44687"/>
    <w:rsid w:val="00A44935"/>
    <w:rsid w:val="00A44B4B"/>
    <w:rsid w:val="00A44CF7"/>
    <w:rsid w:val="00A45114"/>
    <w:rsid w:val="00A45354"/>
    <w:rsid w:val="00A4567C"/>
    <w:rsid w:val="00A45841"/>
    <w:rsid w:val="00A4587B"/>
    <w:rsid w:val="00A45E4B"/>
    <w:rsid w:val="00A463CD"/>
    <w:rsid w:val="00A46674"/>
    <w:rsid w:val="00A46995"/>
    <w:rsid w:val="00A46AE9"/>
    <w:rsid w:val="00A470AA"/>
    <w:rsid w:val="00A475E7"/>
    <w:rsid w:val="00A47723"/>
    <w:rsid w:val="00A47AB9"/>
    <w:rsid w:val="00A47D24"/>
    <w:rsid w:val="00A47F48"/>
    <w:rsid w:val="00A502FB"/>
    <w:rsid w:val="00A50BB5"/>
    <w:rsid w:val="00A517FA"/>
    <w:rsid w:val="00A51F3F"/>
    <w:rsid w:val="00A51F76"/>
    <w:rsid w:val="00A520D0"/>
    <w:rsid w:val="00A5222A"/>
    <w:rsid w:val="00A5289F"/>
    <w:rsid w:val="00A52A57"/>
    <w:rsid w:val="00A52D5D"/>
    <w:rsid w:val="00A53321"/>
    <w:rsid w:val="00A5343C"/>
    <w:rsid w:val="00A534AF"/>
    <w:rsid w:val="00A53707"/>
    <w:rsid w:val="00A53733"/>
    <w:rsid w:val="00A53856"/>
    <w:rsid w:val="00A53934"/>
    <w:rsid w:val="00A539D5"/>
    <w:rsid w:val="00A53A93"/>
    <w:rsid w:val="00A53A9E"/>
    <w:rsid w:val="00A53ED0"/>
    <w:rsid w:val="00A546A7"/>
    <w:rsid w:val="00A5487A"/>
    <w:rsid w:val="00A549A0"/>
    <w:rsid w:val="00A54BFF"/>
    <w:rsid w:val="00A5512F"/>
    <w:rsid w:val="00A552BA"/>
    <w:rsid w:val="00A555E4"/>
    <w:rsid w:val="00A5563C"/>
    <w:rsid w:val="00A55B02"/>
    <w:rsid w:val="00A55F0A"/>
    <w:rsid w:val="00A55F32"/>
    <w:rsid w:val="00A5645C"/>
    <w:rsid w:val="00A56882"/>
    <w:rsid w:val="00A56A7F"/>
    <w:rsid w:val="00A56AE3"/>
    <w:rsid w:val="00A56B83"/>
    <w:rsid w:val="00A56F1A"/>
    <w:rsid w:val="00A56F4B"/>
    <w:rsid w:val="00A57011"/>
    <w:rsid w:val="00A5731B"/>
    <w:rsid w:val="00A5771A"/>
    <w:rsid w:val="00A57A90"/>
    <w:rsid w:val="00A60575"/>
    <w:rsid w:val="00A6078B"/>
    <w:rsid w:val="00A607A6"/>
    <w:rsid w:val="00A60D52"/>
    <w:rsid w:val="00A60DEE"/>
    <w:rsid w:val="00A60FB0"/>
    <w:rsid w:val="00A6125D"/>
    <w:rsid w:val="00A61369"/>
    <w:rsid w:val="00A61519"/>
    <w:rsid w:val="00A61975"/>
    <w:rsid w:val="00A6216A"/>
    <w:rsid w:val="00A62280"/>
    <w:rsid w:val="00A623A3"/>
    <w:rsid w:val="00A6243F"/>
    <w:rsid w:val="00A624D6"/>
    <w:rsid w:val="00A62A12"/>
    <w:rsid w:val="00A62BEE"/>
    <w:rsid w:val="00A63406"/>
    <w:rsid w:val="00A63484"/>
    <w:rsid w:val="00A634AB"/>
    <w:rsid w:val="00A63533"/>
    <w:rsid w:val="00A636D0"/>
    <w:rsid w:val="00A63A89"/>
    <w:rsid w:val="00A63AAC"/>
    <w:rsid w:val="00A64016"/>
    <w:rsid w:val="00A640E0"/>
    <w:rsid w:val="00A644CE"/>
    <w:rsid w:val="00A644FF"/>
    <w:rsid w:val="00A64D6D"/>
    <w:rsid w:val="00A64E7C"/>
    <w:rsid w:val="00A64F82"/>
    <w:rsid w:val="00A65418"/>
    <w:rsid w:val="00A656C5"/>
    <w:rsid w:val="00A657E7"/>
    <w:rsid w:val="00A6585A"/>
    <w:rsid w:val="00A6594D"/>
    <w:rsid w:val="00A65B32"/>
    <w:rsid w:val="00A65BC4"/>
    <w:rsid w:val="00A66744"/>
    <w:rsid w:val="00A66BB2"/>
    <w:rsid w:val="00A66CA4"/>
    <w:rsid w:val="00A66D9F"/>
    <w:rsid w:val="00A6700A"/>
    <w:rsid w:val="00A670B1"/>
    <w:rsid w:val="00A671FE"/>
    <w:rsid w:val="00A67601"/>
    <w:rsid w:val="00A676B1"/>
    <w:rsid w:val="00A677AF"/>
    <w:rsid w:val="00A679A9"/>
    <w:rsid w:val="00A679B9"/>
    <w:rsid w:val="00A67ABA"/>
    <w:rsid w:val="00A67B0F"/>
    <w:rsid w:val="00A67C2A"/>
    <w:rsid w:val="00A67EED"/>
    <w:rsid w:val="00A7008A"/>
    <w:rsid w:val="00A7040C"/>
    <w:rsid w:val="00A70541"/>
    <w:rsid w:val="00A70CF9"/>
    <w:rsid w:val="00A70F46"/>
    <w:rsid w:val="00A710DF"/>
    <w:rsid w:val="00A71145"/>
    <w:rsid w:val="00A71182"/>
    <w:rsid w:val="00A7132C"/>
    <w:rsid w:val="00A71426"/>
    <w:rsid w:val="00A715C9"/>
    <w:rsid w:val="00A715F8"/>
    <w:rsid w:val="00A719DF"/>
    <w:rsid w:val="00A72018"/>
    <w:rsid w:val="00A72269"/>
    <w:rsid w:val="00A7235C"/>
    <w:rsid w:val="00A72737"/>
    <w:rsid w:val="00A72858"/>
    <w:rsid w:val="00A729BA"/>
    <w:rsid w:val="00A72BFC"/>
    <w:rsid w:val="00A72EA7"/>
    <w:rsid w:val="00A73111"/>
    <w:rsid w:val="00A7315D"/>
    <w:rsid w:val="00A7366C"/>
    <w:rsid w:val="00A73F89"/>
    <w:rsid w:val="00A7420A"/>
    <w:rsid w:val="00A742DB"/>
    <w:rsid w:val="00A744E2"/>
    <w:rsid w:val="00A7451B"/>
    <w:rsid w:val="00A7471C"/>
    <w:rsid w:val="00A75172"/>
    <w:rsid w:val="00A753C7"/>
    <w:rsid w:val="00A753FB"/>
    <w:rsid w:val="00A754F6"/>
    <w:rsid w:val="00A75727"/>
    <w:rsid w:val="00A7590A"/>
    <w:rsid w:val="00A75AD3"/>
    <w:rsid w:val="00A75C60"/>
    <w:rsid w:val="00A75E10"/>
    <w:rsid w:val="00A75EF9"/>
    <w:rsid w:val="00A75FF2"/>
    <w:rsid w:val="00A7606C"/>
    <w:rsid w:val="00A7619B"/>
    <w:rsid w:val="00A76307"/>
    <w:rsid w:val="00A765A0"/>
    <w:rsid w:val="00A76657"/>
    <w:rsid w:val="00A7667B"/>
    <w:rsid w:val="00A76BE6"/>
    <w:rsid w:val="00A76F03"/>
    <w:rsid w:val="00A77423"/>
    <w:rsid w:val="00A77606"/>
    <w:rsid w:val="00A77C96"/>
    <w:rsid w:val="00A77E41"/>
    <w:rsid w:val="00A80297"/>
    <w:rsid w:val="00A80536"/>
    <w:rsid w:val="00A8065B"/>
    <w:rsid w:val="00A80C98"/>
    <w:rsid w:val="00A8156A"/>
    <w:rsid w:val="00A81680"/>
    <w:rsid w:val="00A8194A"/>
    <w:rsid w:val="00A81B05"/>
    <w:rsid w:val="00A81F7C"/>
    <w:rsid w:val="00A820D8"/>
    <w:rsid w:val="00A82398"/>
    <w:rsid w:val="00A8251E"/>
    <w:rsid w:val="00A825C9"/>
    <w:rsid w:val="00A82B3E"/>
    <w:rsid w:val="00A82D10"/>
    <w:rsid w:val="00A831DB"/>
    <w:rsid w:val="00A83551"/>
    <w:rsid w:val="00A83833"/>
    <w:rsid w:val="00A83C0F"/>
    <w:rsid w:val="00A83EEF"/>
    <w:rsid w:val="00A841F5"/>
    <w:rsid w:val="00A8422F"/>
    <w:rsid w:val="00A84914"/>
    <w:rsid w:val="00A852F7"/>
    <w:rsid w:val="00A853F3"/>
    <w:rsid w:val="00A85532"/>
    <w:rsid w:val="00A85901"/>
    <w:rsid w:val="00A85B6B"/>
    <w:rsid w:val="00A85F17"/>
    <w:rsid w:val="00A86353"/>
    <w:rsid w:val="00A86374"/>
    <w:rsid w:val="00A870B8"/>
    <w:rsid w:val="00A8779E"/>
    <w:rsid w:val="00A877F3"/>
    <w:rsid w:val="00A8794D"/>
    <w:rsid w:val="00A87CF0"/>
    <w:rsid w:val="00A87D0E"/>
    <w:rsid w:val="00A902DF"/>
    <w:rsid w:val="00A90414"/>
    <w:rsid w:val="00A90517"/>
    <w:rsid w:val="00A90570"/>
    <w:rsid w:val="00A907A6"/>
    <w:rsid w:val="00A9099E"/>
    <w:rsid w:val="00A90C87"/>
    <w:rsid w:val="00A90CE2"/>
    <w:rsid w:val="00A90D41"/>
    <w:rsid w:val="00A91081"/>
    <w:rsid w:val="00A9119D"/>
    <w:rsid w:val="00A9119F"/>
    <w:rsid w:val="00A912C9"/>
    <w:rsid w:val="00A91AF0"/>
    <w:rsid w:val="00A92008"/>
    <w:rsid w:val="00A92027"/>
    <w:rsid w:val="00A920EF"/>
    <w:rsid w:val="00A920F0"/>
    <w:rsid w:val="00A9210C"/>
    <w:rsid w:val="00A924BA"/>
    <w:rsid w:val="00A927AF"/>
    <w:rsid w:val="00A928D9"/>
    <w:rsid w:val="00A9297A"/>
    <w:rsid w:val="00A92A54"/>
    <w:rsid w:val="00A92C2F"/>
    <w:rsid w:val="00A92CAD"/>
    <w:rsid w:val="00A92E6E"/>
    <w:rsid w:val="00A935AB"/>
    <w:rsid w:val="00A93818"/>
    <w:rsid w:val="00A938DD"/>
    <w:rsid w:val="00A939F4"/>
    <w:rsid w:val="00A93CA0"/>
    <w:rsid w:val="00A94577"/>
    <w:rsid w:val="00A94649"/>
    <w:rsid w:val="00A946AE"/>
    <w:rsid w:val="00A94E64"/>
    <w:rsid w:val="00A94E68"/>
    <w:rsid w:val="00A95445"/>
    <w:rsid w:val="00A9588A"/>
    <w:rsid w:val="00A958C6"/>
    <w:rsid w:val="00A959DA"/>
    <w:rsid w:val="00A95DD8"/>
    <w:rsid w:val="00A96503"/>
    <w:rsid w:val="00A9652E"/>
    <w:rsid w:val="00A96A30"/>
    <w:rsid w:val="00A96B47"/>
    <w:rsid w:val="00A96D8B"/>
    <w:rsid w:val="00A96ED2"/>
    <w:rsid w:val="00A97348"/>
    <w:rsid w:val="00A97891"/>
    <w:rsid w:val="00A97A68"/>
    <w:rsid w:val="00AA0025"/>
    <w:rsid w:val="00AA0747"/>
    <w:rsid w:val="00AA1225"/>
    <w:rsid w:val="00AA126E"/>
    <w:rsid w:val="00AA12EB"/>
    <w:rsid w:val="00AA135B"/>
    <w:rsid w:val="00AA1CB3"/>
    <w:rsid w:val="00AA1D90"/>
    <w:rsid w:val="00AA1EE8"/>
    <w:rsid w:val="00AA1FF4"/>
    <w:rsid w:val="00AA25D1"/>
    <w:rsid w:val="00AA282B"/>
    <w:rsid w:val="00AA2857"/>
    <w:rsid w:val="00AA29FD"/>
    <w:rsid w:val="00AA328E"/>
    <w:rsid w:val="00AA47E8"/>
    <w:rsid w:val="00AA4CDB"/>
    <w:rsid w:val="00AA5000"/>
    <w:rsid w:val="00AA50DB"/>
    <w:rsid w:val="00AA5A77"/>
    <w:rsid w:val="00AA5AD8"/>
    <w:rsid w:val="00AA5CDA"/>
    <w:rsid w:val="00AA5DDC"/>
    <w:rsid w:val="00AA5E8F"/>
    <w:rsid w:val="00AA5F45"/>
    <w:rsid w:val="00AA5FEF"/>
    <w:rsid w:val="00AA6296"/>
    <w:rsid w:val="00AA633D"/>
    <w:rsid w:val="00AA635E"/>
    <w:rsid w:val="00AA665B"/>
    <w:rsid w:val="00AA6B8A"/>
    <w:rsid w:val="00AA6F4E"/>
    <w:rsid w:val="00AA70F0"/>
    <w:rsid w:val="00AA7689"/>
    <w:rsid w:val="00AA76DB"/>
    <w:rsid w:val="00AA7AFC"/>
    <w:rsid w:val="00AA7C4A"/>
    <w:rsid w:val="00AA7DC1"/>
    <w:rsid w:val="00AB03B2"/>
    <w:rsid w:val="00AB048E"/>
    <w:rsid w:val="00AB0A32"/>
    <w:rsid w:val="00AB0DFA"/>
    <w:rsid w:val="00AB0E7B"/>
    <w:rsid w:val="00AB15A5"/>
    <w:rsid w:val="00AB1ACA"/>
    <w:rsid w:val="00AB1E70"/>
    <w:rsid w:val="00AB1E8C"/>
    <w:rsid w:val="00AB2286"/>
    <w:rsid w:val="00AB2474"/>
    <w:rsid w:val="00AB27A7"/>
    <w:rsid w:val="00AB28FB"/>
    <w:rsid w:val="00AB2B70"/>
    <w:rsid w:val="00AB3031"/>
    <w:rsid w:val="00AB30F3"/>
    <w:rsid w:val="00AB3112"/>
    <w:rsid w:val="00AB31C3"/>
    <w:rsid w:val="00AB3325"/>
    <w:rsid w:val="00AB3416"/>
    <w:rsid w:val="00AB376E"/>
    <w:rsid w:val="00AB393F"/>
    <w:rsid w:val="00AB3A4C"/>
    <w:rsid w:val="00AB3B2A"/>
    <w:rsid w:val="00AB3BB4"/>
    <w:rsid w:val="00AB3D2C"/>
    <w:rsid w:val="00AB3E42"/>
    <w:rsid w:val="00AB402E"/>
    <w:rsid w:val="00AB4285"/>
    <w:rsid w:val="00AB4335"/>
    <w:rsid w:val="00AB43A3"/>
    <w:rsid w:val="00AB44AE"/>
    <w:rsid w:val="00AB4A7A"/>
    <w:rsid w:val="00AB4B3B"/>
    <w:rsid w:val="00AB4B6F"/>
    <w:rsid w:val="00AB5469"/>
    <w:rsid w:val="00AB54A3"/>
    <w:rsid w:val="00AB56D0"/>
    <w:rsid w:val="00AB6AE4"/>
    <w:rsid w:val="00AB6F23"/>
    <w:rsid w:val="00AB71A2"/>
    <w:rsid w:val="00AB75E1"/>
    <w:rsid w:val="00AB7929"/>
    <w:rsid w:val="00AB7A10"/>
    <w:rsid w:val="00AB7A12"/>
    <w:rsid w:val="00AB7F05"/>
    <w:rsid w:val="00AC038B"/>
    <w:rsid w:val="00AC074E"/>
    <w:rsid w:val="00AC0782"/>
    <w:rsid w:val="00AC0914"/>
    <w:rsid w:val="00AC0BC1"/>
    <w:rsid w:val="00AC0C1D"/>
    <w:rsid w:val="00AC0FAC"/>
    <w:rsid w:val="00AC1035"/>
    <w:rsid w:val="00AC1690"/>
    <w:rsid w:val="00AC17C3"/>
    <w:rsid w:val="00AC18A0"/>
    <w:rsid w:val="00AC190D"/>
    <w:rsid w:val="00AC19B7"/>
    <w:rsid w:val="00AC19D0"/>
    <w:rsid w:val="00AC1BAF"/>
    <w:rsid w:val="00AC1F09"/>
    <w:rsid w:val="00AC2220"/>
    <w:rsid w:val="00AC2277"/>
    <w:rsid w:val="00AC265D"/>
    <w:rsid w:val="00AC35DB"/>
    <w:rsid w:val="00AC38D1"/>
    <w:rsid w:val="00AC39EE"/>
    <w:rsid w:val="00AC40AC"/>
    <w:rsid w:val="00AC4119"/>
    <w:rsid w:val="00AC417A"/>
    <w:rsid w:val="00AC47F1"/>
    <w:rsid w:val="00AC494F"/>
    <w:rsid w:val="00AC49BD"/>
    <w:rsid w:val="00AC4A89"/>
    <w:rsid w:val="00AC4AA5"/>
    <w:rsid w:val="00AC4E88"/>
    <w:rsid w:val="00AC533C"/>
    <w:rsid w:val="00AC534C"/>
    <w:rsid w:val="00AC53C2"/>
    <w:rsid w:val="00AC561E"/>
    <w:rsid w:val="00AC5A84"/>
    <w:rsid w:val="00AC5CB3"/>
    <w:rsid w:val="00AC6A6A"/>
    <w:rsid w:val="00AC6B38"/>
    <w:rsid w:val="00AC6C6E"/>
    <w:rsid w:val="00AC6DA6"/>
    <w:rsid w:val="00AC72A4"/>
    <w:rsid w:val="00AC72EA"/>
    <w:rsid w:val="00AC7476"/>
    <w:rsid w:val="00AC7542"/>
    <w:rsid w:val="00AC7AFF"/>
    <w:rsid w:val="00AC7B10"/>
    <w:rsid w:val="00AC7B7D"/>
    <w:rsid w:val="00AC7EB0"/>
    <w:rsid w:val="00AD0163"/>
    <w:rsid w:val="00AD02C8"/>
    <w:rsid w:val="00AD0540"/>
    <w:rsid w:val="00AD0640"/>
    <w:rsid w:val="00AD0854"/>
    <w:rsid w:val="00AD0A43"/>
    <w:rsid w:val="00AD0A45"/>
    <w:rsid w:val="00AD0B5D"/>
    <w:rsid w:val="00AD0CD6"/>
    <w:rsid w:val="00AD10B2"/>
    <w:rsid w:val="00AD15F4"/>
    <w:rsid w:val="00AD17D9"/>
    <w:rsid w:val="00AD1834"/>
    <w:rsid w:val="00AD19A1"/>
    <w:rsid w:val="00AD1F06"/>
    <w:rsid w:val="00AD1F59"/>
    <w:rsid w:val="00AD2216"/>
    <w:rsid w:val="00AD22A8"/>
    <w:rsid w:val="00AD25E4"/>
    <w:rsid w:val="00AD26A1"/>
    <w:rsid w:val="00AD2AB4"/>
    <w:rsid w:val="00AD2ABC"/>
    <w:rsid w:val="00AD2D3E"/>
    <w:rsid w:val="00AD30AB"/>
    <w:rsid w:val="00AD32C4"/>
    <w:rsid w:val="00AD3939"/>
    <w:rsid w:val="00AD3DE9"/>
    <w:rsid w:val="00AD3E72"/>
    <w:rsid w:val="00AD4099"/>
    <w:rsid w:val="00AD40DE"/>
    <w:rsid w:val="00AD42E4"/>
    <w:rsid w:val="00AD4AAD"/>
    <w:rsid w:val="00AD5D29"/>
    <w:rsid w:val="00AD6174"/>
    <w:rsid w:val="00AD6249"/>
    <w:rsid w:val="00AD6615"/>
    <w:rsid w:val="00AD66B1"/>
    <w:rsid w:val="00AD6A5E"/>
    <w:rsid w:val="00AD6B7E"/>
    <w:rsid w:val="00AD71BC"/>
    <w:rsid w:val="00AD76AD"/>
    <w:rsid w:val="00AD7888"/>
    <w:rsid w:val="00AD7A0A"/>
    <w:rsid w:val="00AD7A60"/>
    <w:rsid w:val="00AD7E41"/>
    <w:rsid w:val="00AD7F19"/>
    <w:rsid w:val="00AE02A1"/>
    <w:rsid w:val="00AE02E1"/>
    <w:rsid w:val="00AE08A9"/>
    <w:rsid w:val="00AE0DBB"/>
    <w:rsid w:val="00AE0FCE"/>
    <w:rsid w:val="00AE11BF"/>
    <w:rsid w:val="00AE1321"/>
    <w:rsid w:val="00AE1540"/>
    <w:rsid w:val="00AE18FF"/>
    <w:rsid w:val="00AE1B80"/>
    <w:rsid w:val="00AE1FD2"/>
    <w:rsid w:val="00AE2013"/>
    <w:rsid w:val="00AE2283"/>
    <w:rsid w:val="00AE2306"/>
    <w:rsid w:val="00AE27C8"/>
    <w:rsid w:val="00AE2AFD"/>
    <w:rsid w:val="00AE2B12"/>
    <w:rsid w:val="00AE2B86"/>
    <w:rsid w:val="00AE2F94"/>
    <w:rsid w:val="00AE3239"/>
    <w:rsid w:val="00AE34B0"/>
    <w:rsid w:val="00AE34F3"/>
    <w:rsid w:val="00AE35A2"/>
    <w:rsid w:val="00AE3ED4"/>
    <w:rsid w:val="00AE3FA1"/>
    <w:rsid w:val="00AE42F9"/>
    <w:rsid w:val="00AE483C"/>
    <w:rsid w:val="00AE4971"/>
    <w:rsid w:val="00AE4A41"/>
    <w:rsid w:val="00AE4B57"/>
    <w:rsid w:val="00AE4BBF"/>
    <w:rsid w:val="00AE4D1E"/>
    <w:rsid w:val="00AE52A6"/>
    <w:rsid w:val="00AE5572"/>
    <w:rsid w:val="00AE58FF"/>
    <w:rsid w:val="00AE5A3F"/>
    <w:rsid w:val="00AE5D0D"/>
    <w:rsid w:val="00AE5E9D"/>
    <w:rsid w:val="00AE6A7F"/>
    <w:rsid w:val="00AE6C8E"/>
    <w:rsid w:val="00AE6CA0"/>
    <w:rsid w:val="00AE6D04"/>
    <w:rsid w:val="00AE6E20"/>
    <w:rsid w:val="00AE78C3"/>
    <w:rsid w:val="00AF0311"/>
    <w:rsid w:val="00AF03B8"/>
    <w:rsid w:val="00AF096E"/>
    <w:rsid w:val="00AF0C92"/>
    <w:rsid w:val="00AF0D3F"/>
    <w:rsid w:val="00AF1414"/>
    <w:rsid w:val="00AF1726"/>
    <w:rsid w:val="00AF195B"/>
    <w:rsid w:val="00AF1A8A"/>
    <w:rsid w:val="00AF1AEC"/>
    <w:rsid w:val="00AF21B1"/>
    <w:rsid w:val="00AF21B4"/>
    <w:rsid w:val="00AF25E8"/>
    <w:rsid w:val="00AF28B4"/>
    <w:rsid w:val="00AF2956"/>
    <w:rsid w:val="00AF3818"/>
    <w:rsid w:val="00AF382B"/>
    <w:rsid w:val="00AF3908"/>
    <w:rsid w:val="00AF3A8D"/>
    <w:rsid w:val="00AF3AD5"/>
    <w:rsid w:val="00AF4492"/>
    <w:rsid w:val="00AF4A3F"/>
    <w:rsid w:val="00AF4AAD"/>
    <w:rsid w:val="00AF4F10"/>
    <w:rsid w:val="00AF5CC7"/>
    <w:rsid w:val="00AF5CEB"/>
    <w:rsid w:val="00AF5E06"/>
    <w:rsid w:val="00AF6240"/>
    <w:rsid w:val="00AF62F4"/>
    <w:rsid w:val="00AF635A"/>
    <w:rsid w:val="00AF6421"/>
    <w:rsid w:val="00AF64D0"/>
    <w:rsid w:val="00AF65AF"/>
    <w:rsid w:val="00AF69EC"/>
    <w:rsid w:val="00AF6A1A"/>
    <w:rsid w:val="00AF6A4D"/>
    <w:rsid w:val="00AF6C39"/>
    <w:rsid w:val="00AF712B"/>
    <w:rsid w:val="00AF764A"/>
    <w:rsid w:val="00AF770D"/>
    <w:rsid w:val="00AF78E3"/>
    <w:rsid w:val="00AF7D1A"/>
    <w:rsid w:val="00AF7D86"/>
    <w:rsid w:val="00AF7E02"/>
    <w:rsid w:val="00B00949"/>
    <w:rsid w:val="00B00AC2"/>
    <w:rsid w:val="00B01007"/>
    <w:rsid w:val="00B012D3"/>
    <w:rsid w:val="00B01552"/>
    <w:rsid w:val="00B01D56"/>
    <w:rsid w:val="00B01D8E"/>
    <w:rsid w:val="00B020D3"/>
    <w:rsid w:val="00B0253F"/>
    <w:rsid w:val="00B02733"/>
    <w:rsid w:val="00B027FA"/>
    <w:rsid w:val="00B028F8"/>
    <w:rsid w:val="00B0299C"/>
    <w:rsid w:val="00B02A3E"/>
    <w:rsid w:val="00B02B97"/>
    <w:rsid w:val="00B02EB5"/>
    <w:rsid w:val="00B02F64"/>
    <w:rsid w:val="00B035A2"/>
    <w:rsid w:val="00B037D4"/>
    <w:rsid w:val="00B039F4"/>
    <w:rsid w:val="00B03CDE"/>
    <w:rsid w:val="00B03D6F"/>
    <w:rsid w:val="00B04540"/>
    <w:rsid w:val="00B0466F"/>
    <w:rsid w:val="00B046D6"/>
    <w:rsid w:val="00B04721"/>
    <w:rsid w:val="00B0478A"/>
    <w:rsid w:val="00B04982"/>
    <w:rsid w:val="00B04C64"/>
    <w:rsid w:val="00B04C87"/>
    <w:rsid w:val="00B04DB0"/>
    <w:rsid w:val="00B05251"/>
    <w:rsid w:val="00B054B0"/>
    <w:rsid w:val="00B06042"/>
    <w:rsid w:val="00B06454"/>
    <w:rsid w:val="00B07139"/>
    <w:rsid w:val="00B0716A"/>
    <w:rsid w:val="00B0765F"/>
    <w:rsid w:val="00B07C7E"/>
    <w:rsid w:val="00B07CA9"/>
    <w:rsid w:val="00B10311"/>
    <w:rsid w:val="00B10648"/>
    <w:rsid w:val="00B106E4"/>
    <w:rsid w:val="00B1082F"/>
    <w:rsid w:val="00B108DD"/>
    <w:rsid w:val="00B10B21"/>
    <w:rsid w:val="00B10EC5"/>
    <w:rsid w:val="00B11217"/>
    <w:rsid w:val="00B11886"/>
    <w:rsid w:val="00B11C72"/>
    <w:rsid w:val="00B11F59"/>
    <w:rsid w:val="00B12043"/>
    <w:rsid w:val="00B121AC"/>
    <w:rsid w:val="00B123DE"/>
    <w:rsid w:val="00B12864"/>
    <w:rsid w:val="00B12EB5"/>
    <w:rsid w:val="00B130C6"/>
    <w:rsid w:val="00B13191"/>
    <w:rsid w:val="00B135AD"/>
    <w:rsid w:val="00B1373E"/>
    <w:rsid w:val="00B137D9"/>
    <w:rsid w:val="00B13C7F"/>
    <w:rsid w:val="00B13ECC"/>
    <w:rsid w:val="00B13FB4"/>
    <w:rsid w:val="00B14DF8"/>
    <w:rsid w:val="00B1543F"/>
    <w:rsid w:val="00B15592"/>
    <w:rsid w:val="00B155C6"/>
    <w:rsid w:val="00B15C94"/>
    <w:rsid w:val="00B15D5D"/>
    <w:rsid w:val="00B15F54"/>
    <w:rsid w:val="00B16183"/>
    <w:rsid w:val="00B162C0"/>
    <w:rsid w:val="00B1693D"/>
    <w:rsid w:val="00B16C12"/>
    <w:rsid w:val="00B16DB8"/>
    <w:rsid w:val="00B16F1D"/>
    <w:rsid w:val="00B17459"/>
    <w:rsid w:val="00B1755C"/>
    <w:rsid w:val="00B175C0"/>
    <w:rsid w:val="00B17917"/>
    <w:rsid w:val="00B20483"/>
    <w:rsid w:val="00B20DDE"/>
    <w:rsid w:val="00B210E5"/>
    <w:rsid w:val="00B211C0"/>
    <w:rsid w:val="00B21202"/>
    <w:rsid w:val="00B21C75"/>
    <w:rsid w:val="00B22059"/>
    <w:rsid w:val="00B22681"/>
    <w:rsid w:val="00B22AEE"/>
    <w:rsid w:val="00B22DC2"/>
    <w:rsid w:val="00B234BC"/>
    <w:rsid w:val="00B23A18"/>
    <w:rsid w:val="00B23AE6"/>
    <w:rsid w:val="00B23B06"/>
    <w:rsid w:val="00B23D17"/>
    <w:rsid w:val="00B23F70"/>
    <w:rsid w:val="00B2401D"/>
    <w:rsid w:val="00B246B3"/>
    <w:rsid w:val="00B24B8A"/>
    <w:rsid w:val="00B24BEE"/>
    <w:rsid w:val="00B24E83"/>
    <w:rsid w:val="00B24FE0"/>
    <w:rsid w:val="00B256EE"/>
    <w:rsid w:val="00B25D7D"/>
    <w:rsid w:val="00B260B2"/>
    <w:rsid w:val="00B2623D"/>
    <w:rsid w:val="00B26668"/>
    <w:rsid w:val="00B26A2C"/>
    <w:rsid w:val="00B26BC0"/>
    <w:rsid w:val="00B26F10"/>
    <w:rsid w:val="00B26F79"/>
    <w:rsid w:val="00B26FE2"/>
    <w:rsid w:val="00B27696"/>
    <w:rsid w:val="00B27723"/>
    <w:rsid w:val="00B27790"/>
    <w:rsid w:val="00B27A82"/>
    <w:rsid w:val="00B27B2E"/>
    <w:rsid w:val="00B30401"/>
    <w:rsid w:val="00B30580"/>
    <w:rsid w:val="00B3075B"/>
    <w:rsid w:val="00B30BEC"/>
    <w:rsid w:val="00B319C3"/>
    <w:rsid w:val="00B31C61"/>
    <w:rsid w:val="00B31CDC"/>
    <w:rsid w:val="00B3204C"/>
    <w:rsid w:val="00B3209D"/>
    <w:rsid w:val="00B3211A"/>
    <w:rsid w:val="00B32208"/>
    <w:rsid w:val="00B32213"/>
    <w:rsid w:val="00B3263A"/>
    <w:rsid w:val="00B328E7"/>
    <w:rsid w:val="00B32BDD"/>
    <w:rsid w:val="00B32D63"/>
    <w:rsid w:val="00B3316D"/>
    <w:rsid w:val="00B3337E"/>
    <w:rsid w:val="00B335EE"/>
    <w:rsid w:val="00B3366E"/>
    <w:rsid w:val="00B34851"/>
    <w:rsid w:val="00B34875"/>
    <w:rsid w:val="00B34A1A"/>
    <w:rsid w:val="00B34B0F"/>
    <w:rsid w:val="00B34B31"/>
    <w:rsid w:val="00B35200"/>
    <w:rsid w:val="00B35332"/>
    <w:rsid w:val="00B356E9"/>
    <w:rsid w:val="00B35F7D"/>
    <w:rsid w:val="00B36187"/>
    <w:rsid w:val="00B3648B"/>
    <w:rsid w:val="00B368F2"/>
    <w:rsid w:val="00B36D18"/>
    <w:rsid w:val="00B36DFB"/>
    <w:rsid w:val="00B3743B"/>
    <w:rsid w:val="00B37724"/>
    <w:rsid w:val="00B37BEC"/>
    <w:rsid w:val="00B37E5D"/>
    <w:rsid w:val="00B37F07"/>
    <w:rsid w:val="00B404E2"/>
    <w:rsid w:val="00B408A4"/>
    <w:rsid w:val="00B40976"/>
    <w:rsid w:val="00B40E4D"/>
    <w:rsid w:val="00B40E7C"/>
    <w:rsid w:val="00B41000"/>
    <w:rsid w:val="00B4100A"/>
    <w:rsid w:val="00B4133A"/>
    <w:rsid w:val="00B4139E"/>
    <w:rsid w:val="00B414FC"/>
    <w:rsid w:val="00B4178A"/>
    <w:rsid w:val="00B4182E"/>
    <w:rsid w:val="00B41BC9"/>
    <w:rsid w:val="00B41BD2"/>
    <w:rsid w:val="00B41CC4"/>
    <w:rsid w:val="00B41CD1"/>
    <w:rsid w:val="00B42078"/>
    <w:rsid w:val="00B420B9"/>
    <w:rsid w:val="00B42227"/>
    <w:rsid w:val="00B423F8"/>
    <w:rsid w:val="00B42881"/>
    <w:rsid w:val="00B42AED"/>
    <w:rsid w:val="00B42B07"/>
    <w:rsid w:val="00B42B17"/>
    <w:rsid w:val="00B42C27"/>
    <w:rsid w:val="00B42D2D"/>
    <w:rsid w:val="00B42E9A"/>
    <w:rsid w:val="00B42F95"/>
    <w:rsid w:val="00B43456"/>
    <w:rsid w:val="00B43743"/>
    <w:rsid w:val="00B43994"/>
    <w:rsid w:val="00B43AEE"/>
    <w:rsid w:val="00B443FB"/>
    <w:rsid w:val="00B448F8"/>
    <w:rsid w:val="00B45183"/>
    <w:rsid w:val="00B451D5"/>
    <w:rsid w:val="00B457B6"/>
    <w:rsid w:val="00B45829"/>
    <w:rsid w:val="00B458F0"/>
    <w:rsid w:val="00B459CD"/>
    <w:rsid w:val="00B465A3"/>
    <w:rsid w:val="00B46B7D"/>
    <w:rsid w:val="00B46C16"/>
    <w:rsid w:val="00B46C68"/>
    <w:rsid w:val="00B479AC"/>
    <w:rsid w:val="00B479B2"/>
    <w:rsid w:val="00B47EE0"/>
    <w:rsid w:val="00B500D7"/>
    <w:rsid w:val="00B50345"/>
    <w:rsid w:val="00B50C9E"/>
    <w:rsid w:val="00B510D2"/>
    <w:rsid w:val="00B51347"/>
    <w:rsid w:val="00B513F1"/>
    <w:rsid w:val="00B51973"/>
    <w:rsid w:val="00B51C61"/>
    <w:rsid w:val="00B52595"/>
    <w:rsid w:val="00B5265D"/>
    <w:rsid w:val="00B52A32"/>
    <w:rsid w:val="00B52DDC"/>
    <w:rsid w:val="00B53928"/>
    <w:rsid w:val="00B53CA5"/>
    <w:rsid w:val="00B54228"/>
    <w:rsid w:val="00B542BE"/>
    <w:rsid w:val="00B546E2"/>
    <w:rsid w:val="00B5498C"/>
    <w:rsid w:val="00B54B2A"/>
    <w:rsid w:val="00B5515F"/>
    <w:rsid w:val="00B55381"/>
    <w:rsid w:val="00B55663"/>
    <w:rsid w:val="00B55BDF"/>
    <w:rsid w:val="00B55C27"/>
    <w:rsid w:val="00B568D2"/>
    <w:rsid w:val="00B56B84"/>
    <w:rsid w:val="00B56EA5"/>
    <w:rsid w:val="00B57039"/>
    <w:rsid w:val="00B570F3"/>
    <w:rsid w:val="00B57178"/>
    <w:rsid w:val="00B576F4"/>
    <w:rsid w:val="00B57B68"/>
    <w:rsid w:val="00B57D45"/>
    <w:rsid w:val="00B57ED4"/>
    <w:rsid w:val="00B57F01"/>
    <w:rsid w:val="00B603DD"/>
    <w:rsid w:val="00B6064E"/>
    <w:rsid w:val="00B60BBB"/>
    <w:rsid w:val="00B60F47"/>
    <w:rsid w:val="00B611FF"/>
    <w:rsid w:val="00B61289"/>
    <w:rsid w:val="00B6146A"/>
    <w:rsid w:val="00B61485"/>
    <w:rsid w:val="00B614E1"/>
    <w:rsid w:val="00B61B01"/>
    <w:rsid w:val="00B61CCC"/>
    <w:rsid w:val="00B61E46"/>
    <w:rsid w:val="00B62159"/>
    <w:rsid w:val="00B622F4"/>
    <w:rsid w:val="00B6274A"/>
    <w:rsid w:val="00B627E1"/>
    <w:rsid w:val="00B62C4D"/>
    <w:rsid w:val="00B62D7E"/>
    <w:rsid w:val="00B63575"/>
    <w:rsid w:val="00B6366B"/>
    <w:rsid w:val="00B63CFF"/>
    <w:rsid w:val="00B63FE0"/>
    <w:rsid w:val="00B6421F"/>
    <w:rsid w:val="00B650A5"/>
    <w:rsid w:val="00B65402"/>
    <w:rsid w:val="00B6540B"/>
    <w:rsid w:val="00B656C1"/>
    <w:rsid w:val="00B6588D"/>
    <w:rsid w:val="00B658D2"/>
    <w:rsid w:val="00B6597C"/>
    <w:rsid w:val="00B65EF9"/>
    <w:rsid w:val="00B661C5"/>
    <w:rsid w:val="00B667D7"/>
    <w:rsid w:val="00B6686D"/>
    <w:rsid w:val="00B66947"/>
    <w:rsid w:val="00B6697D"/>
    <w:rsid w:val="00B66BA6"/>
    <w:rsid w:val="00B66BB2"/>
    <w:rsid w:val="00B66C3C"/>
    <w:rsid w:val="00B66D84"/>
    <w:rsid w:val="00B66DCE"/>
    <w:rsid w:val="00B66E59"/>
    <w:rsid w:val="00B672E9"/>
    <w:rsid w:val="00B67671"/>
    <w:rsid w:val="00B678E9"/>
    <w:rsid w:val="00B67C24"/>
    <w:rsid w:val="00B67C55"/>
    <w:rsid w:val="00B67D6A"/>
    <w:rsid w:val="00B70008"/>
    <w:rsid w:val="00B70012"/>
    <w:rsid w:val="00B70027"/>
    <w:rsid w:val="00B7070D"/>
    <w:rsid w:val="00B708C6"/>
    <w:rsid w:val="00B70AB1"/>
    <w:rsid w:val="00B70F43"/>
    <w:rsid w:val="00B71116"/>
    <w:rsid w:val="00B711A5"/>
    <w:rsid w:val="00B7155E"/>
    <w:rsid w:val="00B7168D"/>
    <w:rsid w:val="00B71B3A"/>
    <w:rsid w:val="00B71B8F"/>
    <w:rsid w:val="00B71F7E"/>
    <w:rsid w:val="00B7205A"/>
    <w:rsid w:val="00B72137"/>
    <w:rsid w:val="00B72312"/>
    <w:rsid w:val="00B724EB"/>
    <w:rsid w:val="00B72662"/>
    <w:rsid w:val="00B726E9"/>
    <w:rsid w:val="00B72868"/>
    <w:rsid w:val="00B7316A"/>
    <w:rsid w:val="00B73186"/>
    <w:rsid w:val="00B731F2"/>
    <w:rsid w:val="00B7381A"/>
    <w:rsid w:val="00B73A39"/>
    <w:rsid w:val="00B73E68"/>
    <w:rsid w:val="00B740DF"/>
    <w:rsid w:val="00B7466C"/>
    <w:rsid w:val="00B74DDE"/>
    <w:rsid w:val="00B74F10"/>
    <w:rsid w:val="00B75635"/>
    <w:rsid w:val="00B75894"/>
    <w:rsid w:val="00B76215"/>
    <w:rsid w:val="00B76451"/>
    <w:rsid w:val="00B7680A"/>
    <w:rsid w:val="00B76902"/>
    <w:rsid w:val="00B76B2B"/>
    <w:rsid w:val="00B76FBF"/>
    <w:rsid w:val="00B7769B"/>
    <w:rsid w:val="00B778CC"/>
    <w:rsid w:val="00B77D0A"/>
    <w:rsid w:val="00B80CAD"/>
    <w:rsid w:val="00B81102"/>
    <w:rsid w:val="00B813C2"/>
    <w:rsid w:val="00B815C5"/>
    <w:rsid w:val="00B81711"/>
    <w:rsid w:val="00B81AAD"/>
    <w:rsid w:val="00B81AF9"/>
    <w:rsid w:val="00B81D66"/>
    <w:rsid w:val="00B822DF"/>
    <w:rsid w:val="00B82772"/>
    <w:rsid w:val="00B828D2"/>
    <w:rsid w:val="00B82936"/>
    <w:rsid w:val="00B82D3F"/>
    <w:rsid w:val="00B82DB4"/>
    <w:rsid w:val="00B831B3"/>
    <w:rsid w:val="00B83237"/>
    <w:rsid w:val="00B832AF"/>
    <w:rsid w:val="00B836B1"/>
    <w:rsid w:val="00B838CF"/>
    <w:rsid w:val="00B83C4B"/>
    <w:rsid w:val="00B83F07"/>
    <w:rsid w:val="00B84088"/>
    <w:rsid w:val="00B8440D"/>
    <w:rsid w:val="00B84488"/>
    <w:rsid w:val="00B846E9"/>
    <w:rsid w:val="00B8481B"/>
    <w:rsid w:val="00B8489A"/>
    <w:rsid w:val="00B8493F"/>
    <w:rsid w:val="00B84D7D"/>
    <w:rsid w:val="00B84E34"/>
    <w:rsid w:val="00B84EA6"/>
    <w:rsid w:val="00B84ECE"/>
    <w:rsid w:val="00B84F12"/>
    <w:rsid w:val="00B850AA"/>
    <w:rsid w:val="00B854E1"/>
    <w:rsid w:val="00B85635"/>
    <w:rsid w:val="00B8590A"/>
    <w:rsid w:val="00B859E5"/>
    <w:rsid w:val="00B85B83"/>
    <w:rsid w:val="00B85D41"/>
    <w:rsid w:val="00B86039"/>
    <w:rsid w:val="00B86578"/>
    <w:rsid w:val="00B866F5"/>
    <w:rsid w:val="00B86B22"/>
    <w:rsid w:val="00B86DBC"/>
    <w:rsid w:val="00B86E5C"/>
    <w:rsid w:val="00B8747F"/>
    <w:rsid w:val="00B877A1"/>
    <w:rsid w:val="00B87D5E"/>
    <w:rsid w:val="00B901D8"/>
    <w:rsid w:val="00B90263"/>
    <w:rsid w:val="00B905F3"/>
    <w:rsid w:val="00B9078B"/>
    <w:rsid w:val="00B90CE4"/>
    <w:rsid w:val="00B914EE"/>
    <w:rsid w:val="00B91698"/>
    <w:rsid w:val="00B9264E"/>
    <w:rsid w:val="00B92A26"/>
    <w:rsid w:val="00B92E0A"/>
    <w:rsid w:val="00B92E1F"/>
    <w:rsid w:val="00B93210"/>
    <w:rsid w:val="00B9326A"/>
    <w:rsid w:val="00B936BD"/>
    <w:rsid w:val="00B938C5"/>
    <w:rsid w:val="00B93BF3"/>
    <w:rsid w:val="00B93D33"/>
    <w:rsid w:val="00B93DF5"/>
    <w:rsid w:val="00B94031"/>
    <w:rsid w:val="00B9411F"/>
    <w:rsid w:val="00B9413D"/>
    <w:rsid w:val="00B94620"/>
    <w:rsid w:val="00B94746"/>
    <w:rsid w:val="00B94E1C"/>
    <w:rsid w:val="00B94F83"/>
    <w:rsid w:val="00B95003"/>
    <w:rsid w:val="00B9539C"/>
    <w:rsid w:val="00B9564F"/>
    <w:rsid w:val="00B956CF"/>
    <w:rsid w:val="00B95757"/>
    <w:rsid w:val="00B95897"/>
    <w:rsid w:val="00B95DFA"/>
    <w:rsid w:val="00B95E03"/>
    <w:rsid w:val="00B95E13"/>
    <w:rsid w:val="00B95F51"/>
    <w:rsid w:val="00B9607D"/>
    <w:rsid w:val="00B963DD"/>
    <w:rsid w:val="00B9646F"/>
    <w:rsid w:val="00B9679C"/>
    <w:rsid w:val="00B96DD8"/>
    <w:rsid w:val="00B9716C"/>
    <w:rsid w:val="00B97290"/>
    <w:rsid w:val="00B972C0"/>
    <w:rsid w:val="00B9763F"/>
    <w:rsid w:val="00B976FC"/>
    <w:rsid w:val="00B97720"/>
    <w:rsid w:val="00B9780F"/>
    <w:rsid w:val="00B97ABE"/>
    <w:rsid w:val="00B97EEF"/>
    <w:rsid w:val="00B97F7C"/>
    <w:rsid w:val="00BA0082"/>
    <w:rsid w:val="00BA02C0"/>
    <w:rsid w:val="00BA05F6"/>
    <w:rsid w:val="00BA0B10"/>
    <w:rsid w:val="00BA0D83"/>
    <w:rsid w:val="00BA10D0"/>
    <w:rsid w:val="00BA1431"/>
    <w:rsid w:val="00BA16A9"/>
    <w:rsid w:val="00BA22F3"/>
    <w:rsid w:val="00BA23C4"/>
    <w:rsid w:val="00BA2404"/>
    <w:rsid w:val="00BA242C"/>
    <w:rsid w:val="00BA260F"/>
    <w:rsid w:val="00BA2735"/>
    <w:rsid w:val="00BA2BD2"/>
    <w:rsid w:val="00BA2FC3"/>
    <w:rsid w:val="00BA39BD"/>
    <w:rsid w:val="00BA3A9C"/>
    <w:rsid w:val="00BA3DDA"/>
    <w:rsid w:val="00BA3EE0"/>
    <w:rsid w:val="00BA4415"/>
    <w:rsid w:val="00BA4B08"/>
    <w:rsid w:val="00BA4CE3"/>
    <w:rsid w:val="00BA4E04"/>
    <w:rsid w:val="00BA4FE8"/>
    <w:rsid w:val="00BA545B"/>
    <w:rsid w:val="00BA5734"/>
    <w:rsid w:val="00BA588D"/>
    <w:rsid w:val="00BA5CED"/>
    <w:rsid w:val="00BA61ED"/>
    <w:rsid w:val="00BA626F"/>
    <w:rsid w:val="00BA64AC"/>
    <w:rsid w:val="00BA6625"/>
    <w:rsid w:val="00BA6C58"/>
    <w:rsid w:val="00BA77F1"/>
    <w:rsid w:val="00BA78BF"/>
    <w:rsid w:val="00BA7EE1"/>
    <w:rsid w:val="00BB052B"/>
    <w:rsid w:val="00BB07EC"/>
    <w:rsid w:val="00BB08F5"/>
    <w:rsid w:val="00BB0A0D"/>
    <w:rsid w:val="00BB0AB1"/>
    <w:rsid w:val="00BB0DA5"/>
    <w:rsid w:val="00BB0DBE"/>
    <w:rsid w:val="00BB0DE5"/>
    <w:rsid w:val="00BB0E1A"/>
    <w:rsid w:val="00BB1611"/>
    <w:rsid w:val="00BB168E"/>
    <w:rsid w:val="00BB170A"/>
    <w:rsid w:val="00BB18F0"/>
    <w:rsid w:val="00BB20C7"/>
    <w:rsid w:val="00BB21A1"/>
    <w:rsid w:val="00BB25B7"/>
    <w:rsid w:val="00BB295E"/>
    <w:rsid w:val="00BB2A92"/>
    <w:rsid w:val="00BB2FD1"/>
    <w:rsid w:val="00BB317F"/>
    <w:rsid w:val="00BB3543"/>
    <w:rsid w:val="00BB36F9"/>
    <w:rsid w:val="00BB396A"/>
    <w:rsid w:val="00BB40BA"/>
    <w:rsid w:val="00BB418D"/>
    <w:rsid w:val="00BB436B"/>
    <w:rsid w:val="00BB44BB"/>
    <w:rsid w:val="00BB48F6"/>
    <w:rsid w:val="00BB4B74"/>
    <w:rsid w:val="00BB4D8F"/>
    <w:rsid w:val="00BB5092"/>
    <w:rsid w:val="00BB5254"/>
    <w:rsid w:val="00BB53E7"/>
    <w:rsid w:val="00BB5407"/>
    <w:rsid w:val="00BB5442"/>
    <w:rsid w:val="00BB55A9"/>
    <w:rsid w:val="00BB5A21"/>
    <w:rsid w:val="00BB5CA6"/>
    <w:rsid w:val="00BB5EAC"/>
    <w:rsid w:val="00BB5FE8"/>
    <w:rsid w:val="00BB64A1"/>
    <w:rsid w:val="00BB66E4"/>
    <w:rsid w:val="00BB6A4A"/>
    <w:rsid w:val="00BB6C3C"/>
    <w:rsid w:val="00BB6FB9"/>
    <w:rsid w:val="00BB6FCA"/>
    <w:rsid w:val="00BB74C2"/>
    <w:rsid w:val="00BB79A2"/>
    <w:rsid w:val="00BB7D01"/>
    <w:rsid w:val="00BB7F62"/>
    <w:rsid w:val="00BC0087"/>
    <w:rsid w:val="00BC0298"/>
    <w:rsid w:val="00BC093C"/>
    <w:rsid w:val="00BC0BD1"/>
    <w:rsid w:val="00BC0CEF"/>
    <w:rsid w:val="00BC0E26"/>
    <w:rsid w:val="00BC11F9"/>
    <w:rsid w:val="00BC14D5"/>
    <w:rsid w:val="00BC15E8"/>
    <w:rsid w:val="00BC1A48"/>
    <w:rsid w:val="00BC1B9F"/>
    <w:rsid w:val="00BC1E90"/>
    <w:rsid w:val="00BC26FC"/>
    <w:rsid w:val="00BC287E"/>
    <w:rsid w:val="00BC28E4"/>
    <w:rsid w:val="00BC29C1"/>
    <w:rsid w:val="00BC2ADC"/>
    <w:rsid w:val="00BC314B"/>
    <w:rsid w:val="00BC385E"/>
    <w:rsid w:val="00BC3ACF"/>
    <w:rsid w:val="00BC3ADD"/>
    <w:rsid w:val="00BC3C5E"/>
    <w:rsid w:val="00BC3D78"/>
    <w:rsid w:val="00BC3FBC"/>
    <w:rsid w:val="00BC4110"/>
    <w:rsid w:val="00BC417D"/>
    <w:rsid w:val="00BC47B6"/>
    <w:rsid w:val="00BC482A"/>
    <w:rsid w:val="00BC48D3"/>
    <w:rsid w:val="00BC4AEE"/>
    <w:rsid w:val="00BC4DE6"/>
    <w:rsid w:val="00BC4F16"/>
    <w:rsid w:val="00BC532E"/>
    <w:rsid w:val="00BC5554"/>
    <w:rsid w:val="00BC5CA0"/>
    <w:rsid w:val="00BC5F48"/>
    <w:rsid w:val="00BC603C"/>
    <w:rsid w:val="00BC61D6"/>
    <w:rsid w:val="00BC6252"/>
    <w:rsid w:val="00BC62C9"/>
    <w:rsid w:val="00BC64A2"/>
    <w:rsid w:val="00BC659C"/>
    <w:rsid w:val="00BC6DEC"/>
    <w:rsid w:val="00BC6EF3"/>
    <w:rsid w:val="00BC71C3"/>
    <w:rsid w:val="00BC7851"/>
    <w:rsid w:val="00BC7927"/>
    <w:rsid w:val="00BC7BD0"/>
    <w:rsid w:val="00BD0143"/>
    <w:rsid w:val="00BD0246"/>
    <w:rsid w:val="00BD035B"/>
    <w:rsid w:val="00BD0487"/>
    <w:rsid w:val="00BD04C4"/>
    <w:rsid w:val="00BD05E9"/>
    <w:rsid w:val="00BD07BE"/>
    <w:rsid w:val="00BD0834"/>
    <w:rsid w:val="00BD0905"/>
    <w:rsid w:val="00BD0FAC"/>
    <w:rsid w:val="00BD11C6"/>
    <w:rsid w:val="00BD131B"/>
    <w:rsid w:val="00BD14CE"/>
    <w:rsid w:val="00BD22F2"/>
    <w:rsid w:val="00BD2D4B"/>
    <w:rsid w:val="00BD333F"/>
    <w:rsid w:val="00BD33B9"/>
    <w:rsid w:val="00BD3945"/>
    <w:rsid w:val="00BD3C6D"/>
    <w:rsid w:val="00BD3DFE"/>
    <w:rsid w:val="00BD3F1E"/>
    <w:rsid w:val="00BD3F40"/>
    <w:rsid w:val="00BD43A1"/>
    <w:rsid w:val="00BD4885"/>
    <w:rsid w:val="00BD489A"/>
    <w:rsid w:val="00BD4A07"/>
    <w:rsid w:val="00BD4D6A"/>
    <w:rsid w:val="00BD4E63"/>
    <w:rsid w:val="00BD4FD3"/>
    <w:rsid w:val="00BD51D7"/>
    <w:rsid w:val="00BD5BE3"/>
    <w:rsid w:val="00BD613A"/>
    <w:rsid w:val="00BD6182"/>
    <w:rsid w:val="00BD6282"/>
    <w:rsid w:val="00BD641A"/>
    <w:rsid w:val="00BD6468"/>
    <w:rsid w:val="00BD670E"/>
    <w:rsid w:val="00BD6A08"/>
    <w:rsid w:val="00BD6C89"/>
    <w:rsid w:val="00BD6DDC"/>
    <w:rsid w:val="00BD701F"/>
    <w:rsid w:val="00BD724B"/>
    <w:rsid w:val="00BD72AA"/>
    <w:rsid w:val="00BD76B3"/>
    <w:rsid w:val="00BD77D3"/>
    <w:rsid w:val="00BD798B"/>
    <w:rsid w:val="00BD7A87"/>
    <w:rsid w:val="00BD7AB4"/>
    <w:rsid w:val="00BE01E9"/>
    <w:rsid w:val="00BE0270"/>
    <w:rsid w:val="00BE039E"/>
    <w:rsid w:val="00BE03E7"/>
    <w:rsid w:val="00BE0A66"/>
    <w:rsid w:val="00BE0B2C"/>
    <w:rsid w:val="00BE0BC1"/>
    <w:rsid w:val="00BE0C2B"/>
    <w:rsid w:val="00BE107C"/>
    <w:rsid w:val="00BE1167"/>
    <w:rsid w:val="00BE1621"/>
    <w:rsid w:val="00BE1A15"/>
    <w:rsid w:val="00BE1C76"/>
    <w:rsid w:val="00BE1DA5"/>
    <w:rsid w:val="00BE1FD7"/>
    <w:rsid w:val="00BE21C7"/>
    <w:rsid w:val="00BE2262"/>
    <w:rsid w:val="00BE2763"/>
    <w:rsid w:val="00BE2777"/>
    <w:rsid w:val="00BE336D"/>
    <w:rsid w:val="00BE33DF"/>
    <w:rsid w:val="00BE381E"/>
    <w:rsid w:val="00BE3A06"/>
    <w:rsid w:val="00BE3C2C"/>
    <w:rsid w:val="00BE3F06"/>
    <w:rsid w:val="00BE3F62"/>
    <w:rsid w:val="00BE424F"/>
    <w:rsid w:val="00BE4578"/>
    <w:rsid w:val="00BE4BAD"/>
    <w:rsid w:val="00BE50FF"/>
    <w:rsid w:val="00BE5210"/>
    <w:rsid w:val="00BE52EF"/>
    <w:rsid w:val="00BE5882"/>
    <w:rsid w:val="00BE5A9B"/>
    <w:rsid w:val="00BE5C5C"/>
    <w:rsid w:val="00BE5D48"/>
    <w:rsid w:val="00BE65CF"/>
    <w:rsid w:val="00BE67D6"/>
    <w:rsid w:val="00BE6902"/>
    <w:rsid w:val="00BE6A53"/>
    <w:rsid w:val="00BE6AC7"/>
    <w:rsid w:val="00BE6D0E"/>
    <w:rsid w:val="00BE6D89"/>
    <w:rsid w:val="00BE6E5F"/>
    <w:rsid w:val="00BE6F1E"/>
    <w:rsid w:val="00BE73BD"/>
    <w:rsid w:val="00BE77FB"/>
    <w:rsid w:val="00BE7FD6"/>
    <w:rsid w:val="00BF007E"/>
    <w:rsid w:val="00BF00D9"/>
    <w:rsid w:val="00BF010C"/>
    <w:rsid w:val="00BF03A1"/>
    <w:rsid w:val="00BF048F"/>
    <w:rsid w:val="00BF0498"/>
    <w:rsid w:val="00BF05CC"/>
    <w:rsid w:val="00BF1170"/>
    <w:rsid w:val="00BF16FE"/>
    <w:rsid w:val="00BF1A46"/>
    <w:rsid w:val="00BF1BD9"/>
    <w:rsid w:val="00BF1C79"/>
    <w:rsid w:val="00BF225D"/>
    <w:rsid w:val="00BF22D4"/>
    <w:rsid w:val="00BF2566"/>
    <w:rsid w:val="00BF2733"/>
    <w:rsid w:val="00BF277F"/>
    <w:rsid w:val="00BF2A68"/>
    <w:rsid w:val="00BF2DCB"/>
    <w:rsid w:val="00BF332E"/>
    <w:rsid w:val="00BF3414"/>
    <w:rsid w:val="00BF3B3E"/>
    <w:rsid w:val="00BF3C3A"/>
    <w:rsid w:val="00BF3D19"/>
    <w:rsid w:val="00BF3E7C"/>
    <w:rsid w:val="00BF3F23"/>
    <w:rsid w:val="00BF4457"/>
    <w:rsid w:val="00BF451B"/>
    <w:rsid w:val="00BF4787"/>
    <w:rsid w:val="00BF48AA"/>
    <w:rsid w:val="00BF4F4C"/>
    <w:rsid w:val="00BF4F6A"/>
    <w:rsid w:val="00BF5575"/>
    <w:rsid w:val="00BF67AA"/>
    <w:rsid w:val="00BF6C02"/>
    <w:rsid w:val="00BF6F22"/>
    <w:rsid w:val="00BF6F69"/>
    <w:rsid w:val="00BF75BA"/>
    <w:rsid w:val="00BF7B4E"/>
    <w:rsid w:val="00BF7DFC"/>
    <w:rsid w:val="00BF7FB1"/>
    <w:rsid w:val="00C008E3"/>
    <w:rsid w:val="00C00BB0"/>
    <w:rsid w:val="00C00D36"/>
    <w:rsid w:val="00C00EC8"/>
    <w:rsid w:val="00C00F08"/>
    <w:rsid w:val="00C00F2A"/>
    <w:rsid w:val="00C012E9"/>
    <w:rsid w:val="00C012F7"/>
    <w:rsid w:val="00C01395"/>
    <w:rsid w:val="00C014C9"/>
    <w:rsid w:val="00C015CD"/>
    <w:rsid w:val="00C0162B"/>
    <w:rsid w:val="00C01C8D"/>
    <w:rsid w:val="00C01EA0"/>
    <w:rsid w:val="00C022E4"/>
    <w:rsid w:val="00C02615"/>
    <w:rsid w:val="00C02909"/>
    <w:rsid w:val="00C02BD5"/>
    <w:rsid w:val="00C02EF4"/>
    <w:rsid w:val="00C02FA2"/>
    <w:rsid w:val="00C03555"/>
    <w:rsid w:val="00C0378B"/>
    <w:rsid w:val="00C03A02"/>
    <w:rsid w:val="00C03CAE"/>
    <w:rsid w:val="00C03DA4"/>
    <w:rsid w:val="00C03FE7"/>
    <w:rsid w:val="00C04081"/>
    <w:rsid w:val="00C042EA"/>
    <w:rsid w:val="00C044B1"/>
    <w:rsid w:val="00C04DE5"/>
    <w:rsid w:val="00C0511B"/>
    <w:rsid w:val="00C052AF"/>
    <w:rsid w:val="00C052B5"/>
    <w:rsid w:val="00C05890"/>
    <w:rsid w:val="00C05B42"/>
    <w:rsid w:val="00C05BB3"/>
    <w:rsid w:val="00C061D7"/>
    <w:rsid w:val="00C06888"/>
    <w:rsid w:val="00C06913"/>
    <w:rsid w:val="00C06953"/>
    <w:rsid w:val="00C06FD4"/>
    <w:rsid w:val="00C07239"/>
    <w:rsid w:val="00C074F5"/>
    <w:rsid w:val="00C0760B"/>
    <w:rsid w:val="00C076E6"/>
    <w:rsid w:val="00C079D3"/>
    <w:rsid w:val="00C07A8C"/>
    <w:rsid w:val="00C07AE3"/>
    <w:rsid w:val="00C07FF4"/>
    <w:rsid w:val="00C102C9"/>
    <w:rsid w:val="00C10B15"/>
    <w:rsid w:val="00C10BC7"/>
    <w:rsid w:val="00C10D77"/>
    <w:rsid w:val="00C10E3D"/>
    <w:rsid w:val="00C10F05"/>
    <w:rsid w:val="00C110D0"/>
    <w:rsid w:val="00C1139D"/>
    <w:rsid w:val="00C116BD"/>
    <w:rsid w:val="00C116D5"/>
    <w:rsid w:val="00C11726"/>
    <w:rsid w:val="00C117C1"/>
    <w:rsid w:val="00C11D25"/>
    <w:rsid w:val="00C11FA1"/>
    <w:rsid w:val="00C1208C"/>
    <w:rsid w:val="00C12317"/>
    <w:rsid w:val="00C12418"/>
    <w:rsid w:val="00C1258C"/>
    <w:rsid w:val="00C12BDC"/>
    <w:rsid w:val="00C12DCF"/>
    <w:rsid w:val="00C132CA"/>
    <w:rsid w:val="00C134A2"/>
    <w:rsid w:val="00C13627"/>
    <w:rsid w:val="00C13899"/>
    <w:rsid w:val="00C138AA"/>
    <w:rsid w:val="00C14050"/>
    <w:rsid w:val="00C143F4"/>
    <w:rsid w:val="00C14A24"/>
    <w:rsid w:val="00C14B86"/>
    <w:rsid w:val="00C155AA"/>
    <w:rsid w:val="00C158EB"/>
    <w:rsid w:val="00C15A46"/>
    <w:rsid w:val="00C15ABC"/>
    <w:rsid w:val="00C15C3C"/>
    <w:rsid w:val="00C15CE9"/>
    <w:rsid w:val="00C16107"/>
    <w:rsid w:val="00C165AF"/>
    <w:rsid w:val="00C1666D"/>
    <w:rsid w:val="00C16BDB"/>
    <w:rsid w:val="00C16D67"/>
    <w:rsid w:val="00C16FE5"/>
    <w:rsid w:val="00C17444"/>
    <w:rsid w:val="00C17525"/>
    <w:rsid w:val="00C175E7"/>
    <w:rsid w:val="00C179E3"/>
    <w:rsid w:val="00C17B38"/>
    <w:rsid w:val="00C17C36"/>
    <w:rsid w:val="00C17CC8"/>
    <w:rsid w:val="00C20072"/>
    <w:rsid w:val="00C209B6"/>
    <w:rsid w:val="00C20A34"/>
    <w:rsid w:val="00C20B7E"/>
    <w:rsid w:val="00C20E8B"/>
    <w:rsid w:val="00C21002"/>
    <w:rsid w:val="00C211B3"/>
    <w:rsid w:val="00C212FC"/>
    <w:rsid w:val="00C21320"/>
    <w:rsid w:val="00C218FD"/>
    <w:rsid w:val="00C21CA5"/>
    <w:rsid w:val="00C223D7"/>
    <w:rsid w:val="00C22474"/>
    <w:rsid w:val="00C22899"/>
    <w:rsid w:val="00C2362F"/>
    <w:rsid w:val="00C23847"/>
    <w:rsid w:val="00C23A72"/>
    <w:rsid w:val="00C24049"/>
    <w:rsid w:val="00C242B3"/>
    <w:rsid w:val="00C243EC"/>
    <w:rsid w:val="00C244D2"/>
    <w:rsid w:val="00C24A17"/>
    <w:rsid w:val="00C24C9F"/>
    <w:rsid w:val="00C24D7F"/>
    <w:rsid w:val="00C24E18"/>
    <w:rsid w:val="00C24F6D"/>
    <w:rsid w:val="00C2569B"/>
    <w:rsid w:val="00C256DB"/>
    <w:rsid w:val="00C257ED"/>
    <w:rsid w:val="00C259BB"/>
    <w:rsid w:val="00C25EBD"/>
    <w:rsid w:val="00C26577"/>
    <w:rsid w:val="00C267A9"/>
    <w:rsid w:val="00C26B20"/>
    <w:rsid w:val="00C26DBF"/>
    <w:rsid w:val="00C26FF4"/>
    <w:rsid w:val="00C27A1A"/>
    <w:rsid w:val="00C27F9A"/>
    <w:rsid w:val="00C3010A"/>
    <w:rsid w:val="00C304E9"/>
    <w:rsid w:val="00C309B3"/>
    <w:rsid w:val="00C30B98"/>
    <w:rsid w:val="00C30CBC"/>
    <w:rsid w:val="00C30EBA"/>
    <w:rsid w:val="00C30FAF"/>
    <w:rsid w:val="00C31181"/>
    <w:rsid w:val="00C31545"/>
    <w:rsid w:val="00C316C7"/>
    <w:rsid w:val="00C31779"/>
    <w:rsid w:val="00C31C93"/>
    <w:rsid w:val="00C31D50"/>
    <w:rsid w:val="00C31FB2"/>
    <w:rsid w:val="00C3248E"/>
    <w:rsid w:val="00C3263B"/>
    <w:rsid w:val="00C32838"/>
    <w:rsid w:val="00C3288A"/>
    <w:rsid w:val="00C32B49"/>
    <w:rsid w:val="00C32C26"/>
    <w:rsid w:val="00C32D45"/>
    <w:rsid w:val="00C3321B"/>
    <w:rsid w:val="00C3337D"/>
    <w:rsid w:val="00C334A6"/>
    <w:rsid w:val="00C33E37"/>
    <w:rsid w:val="00C33F11"/>
    <w:rsid w:val="00C34187"/>
    <w:rsid w:val="00C34BFA"/>
    <w:rsid w:val="00C35679"/>
    <w:rsid w:val="00C3568F"/>
    <w:rsid w:val="00C359E1"/>
    <w:rsid w:val="00C35AC3"/>
    <w:rsid w:val="00C35B5C"/>
    <w:rsid w:val="00C35FEC"/>
    <w:rsid w:val="00C3613E"/>
    <w:rsid w:val="00C3644B"/>
    <w:rsid w:val="00C365FE"/>
    <w:rsid w:val="00C36757"/>
    <w:rsid w:val="00C3696D"/>
    <w:rsid w:val="00C36DC7"/>
    <w:rsid w:val="00C36FF1"/>
    <w:rsid w:val="00C374D8"/>
    <w:rsid w:val="00C40057"/>
    <w:rsid w:val="00C401B7"/>
    <w:rsid w:val="00C4023C"/>
    <w:rsid w:val="00C40426"/>
    <w:rsid w:val="00C40950"/>
    <w:rsid w:val="00C41275"/>
    <w:rsid w:val="00C412AE"/>
    <w:rsid w:val="00C414A3"/>
    <w:rsid w:val="00C41757"/>
    <w:rsid w:val="00C418F5"/>
    <w:rsid w:val="00C420C0"/>
    <w:rsid w:val="00C428E6"/>
    <w:rsid w:val="00C42B03"/>
    <w:rsid w:val="00C42C4F"/>
    <w:rsid w:val="00C42C56"/>
    <w:rsid w:val="00C42DDC"/>
    <w:rsid w:val="00C43480"/>
    <w:rsid w:val="00C43563"/>
    <w:rsid w:val="00C43590"/>
    <w:rsid w:val="00C437BC"/>
    <w:rsid w:val="00C43B3C"/>
    <w:rsid w:val="00C44306"/>
    <w:rsid w:val="00C44B9D"/>
    <w:rsid w:val="00C4502D"/>
    <w:rsid w:val="00C452C9"/>
    <w:rsid w:val="00C4546A"/>
    <w:rsid w:val="00C4580F"/>
    <w:rsid w:val="00C45890"/>
    <w:rsid w:val="00C45A74"/>
    <w:rsid w:val="00C45BA1"/>
    <w:rsid w:val="00C46013"/>
    <w:rsid w:val="00C463CD"/>
    <w:rsid w:val="00C46474"/>
    <w:rsid w:val="00C46984"/>
    <w:rsid w:val="00C46A11"/>
    <w:rsid w:val="00C46DFA"/>
    <w:rsid w:val="00C472B1"/>
    <w:rsid w:val="00C479D3"/>
    <w:rsid w:val="00C47AA4"/>
    <w:rsid w:val="00C47BFF"/>
    <w:rsid w:val="00C50134"/>
    <w:rsid w:val="00C503AF"/>
    <w:rsid w:val="00C50A41"/>
    <w:rsid w:val="00C50BAC"/>
    <w:rsid w:val="00C50BD8"/>
    <w:rsid w:val="00C50D86"/>
    <w:rsid w:val="00C50D9C"/>
    <w:rsid w:val="00C50E33"/>
    <w:rsid w:val="00C50F16"/>
    <w:rsid w:val="00C51940"/>
    <w:rsid w:val="00C51A7D"/>
    <w:rsid w:val="00C51EC6"/>
    <w:rsid w:val="00C51F1C"/>
    <w:rsid w:val="00C522E1"/>
    <w:rsid w:val="00C5270D"/>
    <w:rsid w:val="00C5279F"/>
    <w:rsid w:val="00C5280A"/>
    <w:rsid w:val="00C529D3"/>
    <w:rsid w:val="00C52C21"/>
    <w:rsid w:val="00C52FB9"/>
    <w:rsid w:val="00C531F0"/>
    <w:rsid w:val="00C53233"/>
    <w:rsid w:val="00C5334F"/>
    <w:rsid w:val="00C5350A"/>
    <w:rsid w:val="00C536AA"/>
    <w:rsid w:val="00C53C91"/>
    <w:rsid w:val="00C541E6"/>
    <w:rsid w:val="00C54222"/>
    <w:rsid w:val="00C5439E"/>
    <w:rsid w:val="00C5471A"/>
    <w:rsid w:val="00C54747"/>
    <w:rsid w:val="00C54913"/>
    <w:rsid w:val="00C54C8B"/>
    <w:rsid w:val="00C54E50"/>
    <w:rsid w:val="00C54F6C"/>
    <w:rsid w:val="00C550BF"/>
    <w:rsid w:val="00C550E7"/>
    <w:rsid w:val="00C55820"/>
    <w:rsid w:val="00C55913"/>
    <w:rsid w:val="00C55D23"/>
    <w:rsid w:val="00C55EE2"/>
    <w:rsid w:val="00C56641"/>
    <w:rsid w:val="00C56642"/>
    <w:rsid w:val="00C56AE4"/>
    <w:rsid w:val="00C56C3D"/>
    <w:rsid w:val="00C56E23"/>
    <w:rsid w:val="00C56F8E"/>
    <w:rsid w:val="00C56FA6"/>
    <w:rsid w:val="00C57A93"/>
    <w:rsid w:val="00C57EC4"/>
    <w:rsid w:val="00C60493"/>
    <w:rsid w:val="00C607A7"/>
    <w:rsid w:val="00C607E0"/>
    <w:rsid w:val="00C609F4"/>
    <w:rsid w:val="00C60A61"/>
    <w:rsid w:val="00C60BBA"/>
    <w:rsid w:val="00C61063"/>
    <w:rsid w:val="00C613BD"/>
    <w:rsid w:val="00C61586"/>
    <w:rsid w:val="00C619CC"/>
    <w:rsid w:val="00C62096"/>
    <w:rsid w:val="00C6211D"/>
    <w:rsid w:val="00C6224A"/>
    <w:rsid w:val="00C62270"/>
    <w:rsid w:val="00C6229B"/>
    <w:rsid w:val="00C626F4"/>
    <w:rsid w:val="00C627CD"/>
    <w:rsid w:val="00C62D38"/>
    <w:rsid w:val="00C62E39"/>
    <w:rsid w:val="00C62E7D"/>
    <w:rsid w:val="00C62EE8"/>
    <w:rsid w:val="00C63144"/>
    <w:rsid w:val="00C631A9"/>
    <w:rsid w:val="00C631E3"/>
    <w:rsid w:val="00C636CC"/>
    <w:rsid w:val="00C637D5"/>
    <w:rsid w:val="00C637FB"/>
    <w:rsid w:val="00C6384E"/>
    <w:rsid w:val="00C639CB"/>
    <w:rsid w:val="00C63C5F"/>
    <w:rsid w:val="00C642EA"/>
    <w:rsid w:val="00C64493"/>
    <w:rsid w:val="00C6456A"/>
    <w:rsid w:val="00C65240"/>
    <w:rsid w:val="00C6536F"/>
    <w:rsid w:val="00C6563A"/>
    <w:rsid w:val="00C65B63"/>
    <w:rsid w:val="00C65B70"/>
    <w:rsid w:val="00C662A1"/>
    <w:rsid w:val="00C662B6"/>
    <w:rsid w:val="00C665A2"/>
    <w:rsid w:val="00C66C5C"/>
    <w:rsid w:val="00C670E0"/>
    <w:rsid w:val="00C6710B"/>
    <w:rsid w:val="00C67195"/>
    <w:rsid w:val="00C674BF"/>
    <w:rsid w:val="00C67610"/>
    <w:rsid w:val="00C67956"/>
    <w:rsid w:val="00C67B44"/>
    <w:rsid w:val="00C67C01"/>
    <w:rsid w:val="00C67C40"/>
    <w:rsid w:val="00C67DA9"/>
    <w:rsid w:val="00C67DD5"/>
    <w:rsid w:val="00C70A4E"/>
    <w:rsid w:val="00C713D8"/>
    <w:rsid w:val="00C7176C"/>
    <w:rsid w:val="00C71EB7"/>
    <w:rsid w:val="00C72A91"/>
    <w:rsid w:val="00C72ADE"/>
    <w:rsid w:val="00C72B8E"/>
    <w:rsid w:val="00C72F60"/>
    <w:rsid w:val="00C73557"/>
    <w:rsid w:val="00C737A0"/>
    <w:rsid w:val="00C73A4B"/>
    <w:rsid w:val="00C73CB7"/>
    <w:rsid w:val="00C741E6"/>
    <w:rsid w:val="00C74263"/>
    <w:rsid w:val="00C744A3"/>
    <w:rsid w:val="00C74599"/>
    <w:rsid w:val="00C748E8"/>
    <w:rsid w:val="00C74B65"/>
    <w:rsid w:val="00C74C9C"/>
    <w:rsid w:val="00C74DDA"/>
    <w:rsid w:val="00C756DB"/>
    <w:rsid w:val="00C757C4"/>
    <w:rsid w:val="00C7596F"/>
    <w:rsid w:val="00C75AB0"/>
    <w:rsid w:val="00C7607D"/>
    <w:rsid w:val="00C76296"/>
    <w:rsid w:val="00C762D1"/>
    <w:rsid w:val="00C76448"/>
    <w:rsid w:val="00C7663B"/>
    <w:rsid w:val="00C768A2"/>
    <w:rsid w:val="00C76C16"/>
    <w:rsid w:val="00C774C8"/>
    <w:rsid w:val="00C77542"/>
    <w:rsid w:val="00C77940"/>
    <w:rsid w:val="00C77C8C"/>
    <w:rsid w:val="00C77DFE"/>
    <w:rsid w:val="00C77FBF"/>
    <w:rsid w:val="00C80257"/>
    <w:rsid w:val="00C80347"/>
    <w:rsid w:val="00C80444"/>
    <w:rsid w:val="00C80502"/>
    <w:rsid w:val="00C80A91"/>
    <w:rsid w:val="00C80B55"/>
    <w:rsid w:val="00C80C1E"/>
    <w:rsid w:val="00C80EFC"/>
    <w:rsid w:val="00C8104D"/>
    <w:rsid w:val="00C81191"/>
    <w:rsid w:val="00C8128A"/>
    <w:rsid w:val="00C81784"/>
    <w:rsid w:val="00C8208F"/>
    <w:rsid w:val="00C82B63"/>
    <w:rsid w:val="00C82B7E"/>
    <w:rsid w:val="00C82BCF"/>
    <w:rsid w:val="00C82F42"/>
    <w:rsid w:val="00C8327B"/>
    <w:rsid w:val="00C83561"/>
    <w:rsid w:val="00C84A8F"/>
    <w:rsid w:val="00C84E68"/>
    <w:rsid w:val="00C8523D"/>
    <w:rsid w:val="00C85A51"/>
    <w:rsid w:val="00C85AEC"/>
    <w:rsid w:val="00C85BB4"/>
    <w:rsid w:val="00C85C30"/>
    <w:rsid w:val="00C866EF"/>
    <w:rsid w:val="00C867C5"/>
    <w:rsid w:val="00C86A83"/>
    <w:rsid w:val="00C86E0D"/>
    <w:rsid w:val="00C8704A"/>
    <w:rsid w:val="00C872D2"/>
    <w:rsid w:val="00C875B8"/>
    <w:rsid w:val="00C87E9F"/>
    <w:rsid w:val="00C9000C"/>
    <w:rsid w:val="00C900F1"/>
    <w:rsid w:val="00C90D71"/>
    <w:rsid w:val="00C90D82"/>
    <w:rsid w:val="00C90E0D"/>
    <w:rsid w:val="00C91117"/>
    <w:rsid w:val="00C91154"/>
    <w:rsid w:val="00C91156"/>
    <w:rsid w:val="00C91319"/>
    <w:rsid w:val="00C918B1"/>
    <w:rsid w:val="00C91AE9"/>
    <w:rsid w:val="00C91B15"/>
    <w:rsid w:val="00C91BAA"/>
    <w:rsid w:val="00C91DBC"/>
    <w:rsid w:val="00C92597"/>
    <w:rsid w:val="00C92800"/>
    <w:rsid w:val="00C92BCC"/>
    <w:rsid w:val="00C93382"/>
    <w:rsid w:val="00C934DD"/>
    <w:rsid w:val="00C93631"/>
    <w:rsid w:val="00C93906"/>
    <w:rsid w:val="00C93A9D"/>
    <w:rsid w:val="00C9437A"/>
    <w:rsid w:val="00C9459D"/>
    <w:rsid w:val="00C94C6B"/>
    <w:rsid w:val="00C95277"/>
    <w:rsid w:val="00C9530A"/>
    <w:rsid w:val="00C95701"/>
    <w:rsid w:val="00C95B22"/>
    <w:rsid w:val="00C95DBC"/>
    <w:rsid w:val="00C95F88"/>
    <w:rsid w:val="00C9678D"/>
    <w:rsid w:val="00C96A84"/>
    <w:rsid w:val="00C97073"/>
    <w:rsid w:val="00C976EA"/>
    <w:rsid w:val="00C9773B"/>
    <w:rsid w:val="00C97813"/>
    <w:rsid w:val="00C97E53"/>
    <w:rsid w:val="00C97FD3"/>
    <w:rsid w:val="00CA04FB"/>
    <w:rsid w:val="00CA0E88"/>
    <w:rsid w:val="00CA100B"/>
    <w:rsid w:val="00CA117E"/>
    <w:rsid w:val="00CA15B7"/>
    <w:rsid w:val="00CA19ED"/>
    <w:rsid w:val="00CA1A73"/>
    <w:rsid w:val="00CA21C7"/>
    <w:rsid w:val="00CA2274"/>
    <w:rsid w:val="00CA25A0"/>
    <w:rsid w:val="00CA2C1B"/>
    <w:rsid w:val="00CA2F27"/>
    <w:rsid w:val="00CA32DC"/>
    <w:rsid w:val="00CA3306"/>
    <w:rsid w:val="00CA34DE"/>
    <w:rsid w:val="00CA3844"/>
    <w:rsid w:val="00CA38E0"/>
    <w:rsid w:val="00CA3C0D"/>
    <w:rsid w:val="00CA3FA9"/>
    <w:rsid w:val="00CA41CB"/>
    <w:rsid w:val="00CA4360"/>
    <w:rsid w:val="00CA46FA"/>
    <w:rsid w:val="00CA4C6E"/>
    <w:rsid w:val="00CA4F25"/>
    <w:rsid w:val="00CA522B"/>
    <w:rsid w:val="00CA53BD"/>
    <w:rsid w:val="00CA54E0"/>
    <w:rsid w:val="00CA56B7"/>
    <w:rsid w:val="00CA5892"/>
    <w:rsid w:val="00CA5C6C"/>
    <w:rsid w:val="00CA5DAB"/>
    <w:rsid w:val="00CA5F2F"/>
    <w:rsid w:val="00CA62B0"/>
    <w:rsid w:val="00CA696B"/>
    <w:rsid w:val="00CA69E1"/>
    <w:rsid w:val="00CA6B5C"/>
    <w:rsid w:val="00CA6E83"/>
    <w:rsid w:val="00CA6FD0"/>
    <w:rsid w:val="00CA710F"/>
    <w:rsid w:val="00CA77F4"/>
    <w:rsid w:val="00CA782C"/>
    <w:rsid w:val="00CA79B0"/>
    <w:rsid w:val="00CA7B52"/>
    <w:rsid w:val="00CA7F1B"/>
    <w:rsid w:val="00CB03CE"/>
    <w:rsid w:val="00CB098C"/>
    <w:rsid w:val="00CB0C55"/>
    <w:rsid w:val="00CB11CE"/>
    <w:rsid w:val="00CB1711"/>
    <w:rsid w:val="00CB23A8"/>
    <w:rsid w:val="00CB24B3"/>
    <w:rsid w:val="00CB2666"/>
    <w:rsid w:val="00CB2C0E"/>
    <w:rsid w:val="00CB2C5D"/>
    <w:rsid w:val="00CB2D18"/>
    <w:rsid w:val="00CB2EE1"/>
    <w:rsid w:val="00CB31B9"/>
    <w:rsid w:val="00CB336B"/>
    <w:rsid w:val="00CB39E5"/>
    <w:rsid w:val="00CB3B5A"/>
    <w:rsid w:val="00CB3C77"/>
    <w:rsid w:val="00CB3CB3"/>
    <w:rsid w:val="00CB3D6C"/>
    <w:rsid w:val="00CB3DA5"/>
    <w:rsid w:val="00CB44A3"/>
    <w:rsid w:val="00CB44DD"/>
    <w:rsid w:val="00CB4647"/>
    <w:rsid w:val="00CB4B13"/>
    <w:rsid w:val="00CB4E3A"/>
    <w:rsid w:val="00CB5243"/>
    <w:rsid w:val="00CB525C"/>
    <w:rsid w:val="00CB550A"/>
    <w:rsid w:val="00CB5D53"/>
    <w:rsid w:val="00CB637F"/>
    <w:rsid w:val="00CB6921"/>
    <w:rsid w:val="00CB6A36"/>
    <w:rsid w:val="00CB6A9D"/>
    <w:rsid w:val="00CB6B27"/>
    <w:rsid w:val="00CB6C8D"/>
    <w:rsid w:val="00CB6F4F"/>
    <w:rsid w:val="00CB7536"/>
    <w:rsid w:val="00CB7919"/>
    <w:rsid w:val="00CB7B17"/>
    <w:rsid w:val="00CB7B24"/>
    <w:rsid w:val="00CB7CF4"/>
    <w:rsid w:val="00CB7E9D"/>
    <w:rsid w:val="00CB7F3D"/>
    <w:rsid w:val="00CC0021"/>
    <w:rsid w:val="00CC0447"/>
    <w:rsid w:val="00CC04BB"/>
    <w:rsid w:val="00CC06FA"/>
    <w:rsid w:val="00CC077A"/>
    <w:rsid w:val="00CC0E09"/>
    <w:rsid w:val="00CC12D3"/>
    <w:rsid w:val="00CC159D"/>
    <w:rsid w:val="00CC16DA"/>
    <w:rsid w:val="00CC1794"/>
    <w:rsid w:val="00CC1AC7"/>
    <w:rsid w:val="00CC1E62"/>
    <w:rsid w:val="00CC2054"/>
    <w:rsid w:val="00CC295D"/>
    <w:rsid w:val="00CC2B09"/>
    <w:rsid w:val="00CC2BF5"/>
    <w:rsid w:val="00CC2D76"/>
    <w:rsid w:val="00CC32FE"/>
    <w:rsid w:val="00CC347C"/>
    <w:rsid w:val="00CC34C1"/>
    <w:rsid w:val="00CC371B"/>
    <w:rsid w:val="00CC39C0"/>
    <w:rsid w:val="00CC3B48"/>
    <w:rsid w:val="00CC4295"/>
    <w:rsid w:val="00CC4938"/>
    <w:rsid w:val="00CC519F"/>
    <w:rsid w:val="00CC577C"/>
    <w:rsid w:val="00CC578C"/>
    <w:rsid w:val="00CC5867"/>
    <w:rsid w:val="00CC5C55"/>
    <w:rsid w:val="00CC5F11"/>
    <w:rsid w:val="00CC5F13"/>
    <w:rsid w:val="00CC5F9E"/>
    <w:rsid w:val="00CC616C"/>
    <w:rsid w:val="00CC617F"/>
    <w:rsid w:val="00CC631C"/>
    <w:rsid w:val="00CC6395"/>
    <w:rsid w:val="00CC648C"/>
    <w:rsid w:val="00CC6961"/>
    <w:rsid w:val="00CC6C06"/>
    <w:rsid w:val="00CC722D"/>
    <w:rsid w:val="00CC7D41"/>
    <w:rsid w:val="00CD0056"/>
    <w:rsid w:val="00CD00B3"/>
    <w:rsid w:val="00CD094F"/>
    <w:rsid w:val="00CD0971"/>
    <w:rsid w:val="00CD0B50"/>
    <w:rsid w:val="00CD0F7B"/>
    <w:rsid w:val="00CD138B"/>
    <w:rsid w:val="00CD170F"/>
    <w:rsid w:val="00CD1AB4"/>
    <w:rsid w:val="00CD1DC6"/>
    <w:rsid w:val="00CD1FFA"/>
    <w:rsid w:val="00CD208A"/>
    <w:rsid w:val="00CD21AE"/>
    <w:rsid w:val="00CD21F3"/>
    <w:rsid w:val="00CD2301"/>
    <w:rsid w:val="00CD27E9"/>
    <w:rsid w:val="00CD2804"/>
    <w:rsid w:val="00CD284D"/>
    <w:rsid w:val="00CD287E"/>
    <w:rsid w:val="00CD2C66"/>
    <w:rsid w:val="00CD3153"/>
    <w:rsid w:val="00CD3748"/>
    <w:rsid w:val="00CD3B3D"/>
    <w:rsid w:val="00CD3EFA"/>
    <w:rsid w:val="00CD41CF"/>
    <w:rsid w:val="00CD4728"/>
    <w:rsid w:val="00CD4D98"/>
    <w:rsid w:val="00CD4FB0"/>
    <w:rsid w:val="00CD50DE"/>
    <w:rsid w:val="00CD5218"/>
    <w:rsid w:val="00CD523A"/>
    <w:rsid w:val="00CD594E"/>
    <w:rsid w:val="00CD5C32"/>
    <w:rsid w:val="00CD5D62"/>
    <w:rsid w:val="00CD5DF7"/>
    <w:rsid w:val="00CD5E28"/>
    <w:rsid w:val="00CD5FDE"/>
    <w:rsid w:val="00CD6806"/>
    <w:rsid w:val="00CD69CD"/>
    <w:rsid w:val="00CD6B25"/>
    <w:rsid w:val="00CD7126"/>
    <w:rsid w:val="00CD78F3"/>
    <w:rsid w:val="00CD7FAF"/>
    <w:rsid w:val="00CE002C"/>
    <w:rsid w:val="00CE07A9"/>
    <w:rsid w:val="00CE08E6"/>
    <w:rsid w:val="00CE0ABF"/>
    <w:rsid w:val="00CE1085"/>
    <w:rsid w:val="00CE11BB"/>
    <w:rsid w:val="00CE11D5"/>
    <w:rsid w:val="00CE17C3"/>
    <w:rsid w:val="00CE1C63"/>
    <w:rsid w:val="00CE1D13"/>
    <w:rsid w:val="00CE2117"/>
    <w:rsid w:val="00CE2138"/>
    <w:rsid w:val="00CE2601"/>
    <w:rsid w:val="00CE27C8"/>
    <w:rsid w:val="00CE296D"/>
    <w:rsid w:val="00CE2B4C"/>
    <w:rsid w:val="00CE2BE8"/>
    <w:rsid w:val="00CE2C0F"/>
    <w:rsid w:val="00CE2F70"/>
    <w:rsid w:val="00CE3515"/>
    <w:rsid w:val="00CE3B6C"/>
    <w:rsid w:val="00CE43AA"/>
    <w:rsid w:val="00CE440A"/>
    <w:rsid w:val="00CE444E"/>
    <w:rsid w:val="00CE4774"/>
    <w:rsid w:val="00CE47A6"/>
    <w:rsid w:val="00CE4BEF"/>
    <w:rsid w:val="00CE4FE2"/>
    <w:rsid w:val="00CE5249"/>
    <w:rsid w:val="00CE574D"/>
    <w:rsid w:val="00CE5C00"/>
    <w:rsid w:val="00CE5C75"/>
    <w:rsid w:val="00CE5F02"/>
    <w:rsid w:val="00CE613D"/>
    <w:rsid w:val="00CE627A"/>
    <w:rsid w:val="00CE647E"/>
    <w:rsid w:val="00CE65BA"/>
    <w:rsid w:val="00CE6615"/>
    <w:rsid w:val="00CE6C13"/>
    <w:rsid w:val="00CE6CCE"/>
    <w:rsid w:val="00CE6CDC"/>
    <w:rsid w:val="00CE6FCC"/>
    <w:rsid w:val="00CE729C"/>
    <w:rsid w:val="00CE77F1"/>
    <w:rsid w:val="00CE7910"/>
    <w:rsid w:val="00CE7AE1"/>
    <w:rsid w:val="00CE7C30"/>
    <w:rsid w:val="00CF0136"/>
    <w:rsid w:val="00CF0179"/>
    <w:rsid w:val="00CF037F"/>
    <w:rsid w:val="00CF04D9"/>
    <w:rsid w:val="00CF052B"/>
    <w:rsid w:val="00CF13E9"/>
    <w:rsid w:val="00CF1472"/>
    <w:rsid w:val="00CF14E7"/>
    <w:rsid w:val="00CF190D"/>
    <w:rsid w:val="00CF1A3D"/>
    <w:rsid w:val="00CF1BC9"/>
    <w:rsid w:val="00CF2167"/>
    <w:rsid w:val="00CF2356"/>
    <w:rsid w:val="00CF2EEE"/>
    <w:rsid w:val="00CF3620"/>
    <w:rsid w:val="00CF3944"/>
    <w:rsid w:val="00CF3A74"/>
    <w:rsid w:val="00CF3B47"/>
    <w:rsid w:val="00CF3DF9"/>
    <w:rsid w:val="00CF40A1"/>
    <w:rsid w:val="00CF42D9"/>
    <w:rsid w:val="00CF4332"/>
    <w:rsid w:val="00CF4636"/>
    <w:rsid w:val="00CF481F"/>
    <w:rsid w:val="00CF4B9F"/>
    <w:rsid w:val="00CF5C22"/>
    <w:rsid w:val="00CF643C"/>
    <w:rsid w:val="00CF678A"/>
    <w:rsid w:val="00CF6AA4"/>
    <w:rsid w:val="00CF6D53"/>
    <w:rsid w:val="00CF6E96"/>
    <w:rsid w:val="00CF716A"/>
    <w:rsid w:val="00CF71FF"/>
    <w:rsid w:val="00CF732C"/>
    <w:rsid w:val="00CF7500"/>
    <w:rsid w:val="00CF755E"/>
    <w:rsid w:val="00CF7641"/>
    <w:rsid w:val="00CF792A"/>
    <w:rsid w:val="00CF7FF3"/>
    <w:rsid w:val="00D0086E"/>
    <w:rsid w:val="00D008AF"/>
    <w:rsid w:val="00D01498"/>
    <w:rsid w:val="00D0160B"/>
    <w:rsid w:val="00D018B1"/>
    <w:rsid w:val="00D019A3"/>
    <w:rsid w:val="00D01F45"/>
    <w:rsid w:val="00D027B2"/>
    <w:rsid w:val="00D027CF"/>
    <w:rsid w:val="00D02847"/>
    <w:rsid w:val="00D02A67"/>
    <w:rsid w:val="00D02B21"/>
    <w:rsid w:val="00D02F5F"/>
    <w:rsid w:val="00D0303F"/>
    <w:rsid w:val="00D03165"/>
    <w:rsid w:val="00D035B3"/>
    <w:rsid w:val="00D03F19"/>
    <w:rsid w:val="00D04AA9"/>
    <w:rsid w:val="00D04B3F"/>
    <w:rsid w:val="00D053EB"/>
    <w:rsid w:val="00D05657"/>
    <w:rsid w:val="00D064CE"/>
    <w:rsid w:val="00D06504"/>
    <w:rsid w:val="00D06CFA"/>
    <w:rsid w:val="00D072A0"/>
    <w:rsid w:val="00D075EE"/>
    <w:rsid w:val="00D07625"/>
    <w:rsid w:val="00D0776C"/>
    <w:rsid w:val="00D07C95"/>
    <w:rsid w:val="00D07F8C"/>
    <w:rsid w:val="00D1024F"/>
    <w:rsid w:val="00D1026D"/>
    <w:rsid w:val="00D103A7"/>
    <w:rsid w:val="00D10479"/>
    <w:rsid w:val="00D1097A"/>
    <w:rsid w:val="00D109A2"/>
    <w:rsid w:val="00D10C1A"/>
    <w:rsid w:val="00D10F4A"/>
    <w:rsid w:val="00D10F7C"/>
    <w:rsid w:val="00D1104F"/>
    <w:rsid w:val="00D11742"/>
    <w:rsid w:val="00D118FC"/>
    <w:rsid w:val="00D11925"/>
    <w:rsid w:val="00D11CC8"/>
    <w:rsid w:val="00D11F0A"/>
    <w:rsid w:val="00D11F3F"/>
    <w:rsid w:val="00D1216E"/>
    <w:rsid w:val="00D121E0"/>
    <w:rsid w:val="00D122D2"/>
    <w:rsid w:val="00D1249E"/>
    <w:rsid w:val="00D12B8A"/>
    <w:rsid w:val="00D12EC5"/>
    <w:rsid w:val="00D13444"/>
    <w:rsid w:val="00D13479"/>
    <w:rsid w:val="00D13800"/>
    <w:rsid w:val="00D138B1"/>
    <w:rsid w:val="00D13D23"/>
    <w:rsid w:val="00D13E53"/>
    <w:rsid w:val="00D13EA2"/>
    <w:rsid w:val="00D13FCA"/>
    <w:rsid w:val="00D14301"/>
    <w:rsid w:val="00D147DC"/>
    <w:rsid w:val="00D147F5"/>
    <w:rsid w:val="00D14A2E"/>
    <w:rsid w:val="00D14EEC"/>
    <w:rsid w:val="00D14FBB"/>
    <w:rsid w:val="00D15005"/>
    <w:rsid w:val="00D154B1"/>
    <w:rsid w:val="00D154D3"/>
    <w:rsid w:val="00D1578C"/>
    <w:rsid w:val="00D157A4"/>
    <w:rsid w:val="00D15B8C"/>
    <w:rsid w:val="00D16038"/>
    <w:rsid w:val="00D16461"/>
    <w:rsid w:val="00D1661B"/>
    <w:rsid w:val="00D16A2B"/>
    <w:rsid w:val="00D16C0F"/>
    <w:rsid w:val="00D16EA5"/>
    <w:rsid w:val="00D1705C"/>
    <w:rsid w:val="00D17264"/>
    <w:rsid w:val="00D173D3"/>
    <w:rsid w:val="00D17469"/>
    <w:rsid w:val="00D1749E"/>
    <w:rsid w:val="00D1772A"/>
    <w:rsid w:val="00D17A7C"/>
    <w:rsid w:val="00D17B51"/>
    <w:rsid w:val="00D17BD2"/>
    <w:rsid w:val="00D17E80"/>
    <w:rsid w:val="00D200A4"/>
    <w:rsid w:val="00D20136"/>
    <w:rsid w:val="00D20167"/>
    <w:rsid w:val="00D201B2"/>
    <w:rsid w:val="00D20319"/>
    <w:rsid w:val="00D20910"/>
    <w:rsid w:val="00D20A2B"/>
    <w:rsid w:val="00D20B4B"/>
    <w:rsid w:val="00D20B50"/>
    <w:rsid w:val="00D20F90"/>
    <w:rsid w:val="00D2129D"/>
    <w:rsid w:val="00D21436"/>
    <w:rsid w:val="00D21496"/>
    <w:rsid w:val="00D21657"/>
    <w:rsid w:val="00D21794"/>
    <w:rsid w:val="00D220F3"/>
    <w:rsid w:val="00D22EBE"/>
    <w:rsid w:val="00D22FA9"/>
    <w:rsid w:val="00D231EE"/>
    <w:rsid w:val="00D234A3"/>
    <w:rsid w:val="00D2393A"/>
    <w:rsid w:val="00D2399E"/>
    <w:rsid w:val="00D23CE8"/>
    <w:rsid w:val="00D23CEB"/>
    <w:rsid w:val="00D23F71"/>
    <w:rsid w:val="00D241A9"/>
    <w:rsid w:val="00D24389"/>
    <w:rsid w:val="00D2460F"/>
    <w:rsid w:val="00D247F4"/>
    <w:rsid w:val="00D24BA8"/>
    <w:rsid w:val="00D24C5F"/>
    <w:rsid w:val="00D24F77"/>
    <w:rsid w:val="00D250C4"/>
    <w:rsid w:val="00D25159"/>
    <w:rsid w:val="00D25474"/>
    <w:rsid w:val="00D256F4"/>
    <w:rsid w:val="00D258FB"/>
    <w:rsid w:val="00D25A6A"/>
    <w:rsid w:val="00D25AB0"/>
    <w:rsid w:val="00D25D2E"/>
    <w:rsid w:val="00D261C1"/>
    <w:rsid w:val="00D27505"/>
    <w:rsid w:val="00D27641"/>
    <w:rsid w:val="00D27A1A"/>
    <w:rsid w:val="00D30923"/>
    <w:rsid w:val="00D30C09"/>
    <w:rsid w:val="00D30FE1"/>
    <w:rsid w:val="00D3133F"/>
    <w:rsid w:val="00D31385"/>
    <w:rsid w:val="00D3177D"/>
    <w:rsid w:val="00D31F8C"/>
    <w:rsid w:val="00D32037"/>
    <w:rsid w:val="00D32361"/>
    <w:rsid w:val="00D326E3"/>
    <w:rsid w:val="00D326E7"/>
    <w:rsid w:val="00D32B43"/>
    <w:rsid w:val="00D32CD1"/>
    <w:rsid w:val="00D32F2F"/>
    <w:rsid w:val="00D33113"/>
    <w:rsid w:val="00D3311E"/>
    <w:rsid w:val="00D333C4"/>
    <w:rsid w:val="00D3377A"/>
    <w:rsid w:val="00D33975"/>
    <w:rsid w:val="00D341A5"/>
    <w:rsid w:val="00D34236"/>
    <w:rsid w:val="00D34395"/>
    <w:rsid w:val="00D3457B"/>
    <w:rsid w:val="00D345EB"/>
    <w:rsid w:val="00D3461A"/>
    <w:rsid w:val="00D34A07"/>
    <w:rsid w:val="00D34B4B"/>
    <w:rsid w:val="00D34DB5"/>
    <w:rsid w:val="00D355D1"/>
    <w:rsid w:val="00D3609F"/>
    <w:rsid w:val="00D36F9F"/>
    <w:rsid w:val="00D3755B"/>
    <w:rsid w:val="00D37C43"/>
    <w:rsid w:val="00D37D38"/>
    <w:rsid w:val="00D37DDB"/>
    <w:rsid w:val="00D403F6"/>
    <w:rsid w:val="00D406A2"/>
    <w:rsid w:val="00D40743"/>
    <w:rsid w:val="00D411FD"/>
    <w:rsid w:val="00D413CA"/>
    <w:rsid w:val="00D41B18"/>
    <w:rsid w:val="00D41E52"/>
    <w:rsid w:val="00D41FB7"/>
    <w:rsid w:val="00D42697"/>
    <w:rsid w:val="00D426B6"/>
    <w:rsid w:val="00D42BB9"/>
    <w:rsid w:val="00D42CB2"/>
    <w:rsid w:val="00D42DDA"/>
    <w:rsid w:val="00D42E35"/>
    <w:rsid w:val="00D42EFE"/>
    <w:rsid w:val="00D42FD0"/>
    <w:rsid w:val="00D43230"/>
    <w:rsid w:val="00D43347"/>
    <w:rsid w:val="00D43AA1"/>
    <w:rsid w:val="00D43C75"/>
    <w:rsid w:val="00D43CA6"/>
    <w:rsid w:val="00D43D22"/>
    <w:rsid w:val="00D43E2B"/>
    <w:rsid w:val="00D44274"/>
    <w:rsid w:val="00D44976"/>
    <w:rsid w:val="00D44EDF"/>
    <w:rsid w:val="00D452E8"/>
    <w:rsid w:val="00D45327"/>
    <w:rsid w:val="00D4561B"/>
    <w:rsid w:val="00D45BE7"/>
    <w:rsid w:val="00D45F1D"/>
    <w:rsid w:val="00D46146"/>
    <w:rsid w:val="00D46291"/>
    <w:rsid w:val="00D46945"/>
    <w:rsid w:val="00D470C7"/>
    <w:rsid w:val="00D474AC"/>
    <w:rsid w:val="00D47552"/>
    <w:rsid w:val="00D4776C"/>
    <w:rsid w:val="00D4792E"/>
    <w:rsid w:val="00D47B29"/>
    <w:rsid w:val="00D47E8E"/>
    <w:rsid w:val="00D50092"/>
    <w:rsid w:val="00D501F0"/>
    <w:rsid w:val="00D502C3"/>
    <w:rsid w:val="00D502D4"/>
    <w:rsid w:val="00D5035C"/>
    <w:rsid w:val="00D508BB"/>
    <w:rsid w:val="00D50AE4"/>
    <w:rsid w:val="00D5136C"/>
    <w:rsid w:val="00D5139E"/>
    <w:rsid w:val="00D5194F"/>
    <w:rsid w:val="00D51D10"/>
    <w:rsid w:val="00D51F57"/>
    <w:rsid w:val="00D5204B"/>
    <w:rsid w:val="00D522B9"/>
    <w:rsid w:val="00D52346"/>
    <w:rsid w:val="00D52361"/>
    <w:rsid w:val="00D52486"/>
    <w:rsid w:val="00D5265B"/>
    <w:rsid w:val="00D527E0"/>
    <w:rsid w:val="00D52D98"/>
    <w:rsid w:val="00D53011"/>
    <w:rsid w:val="00D53163"/>
    <w:rsid w:val="00D533C7"/>
    <w:rsid w:val="00D53462"/>
    <w:rsid w:val="00D53720"/>
    <w:rsid w:val="00D54479"/>
    <w:rsid w:val="00D54CE3"/>
    <w:rsid w:val="00D54F29"/>
    <w:rsid w:val="00D550B2"/>
    <w:rsid w:val="00D55265"/>
    <w:rsid w:val="00D55322"/>
    <w:rsid w:val="00D55701"/>
    <w:rsid w:val="00D557F4"/>
    <w:rsid w:val="00D55BF0"/>
    <w:rsid w:val="00D55D45"/>
    <w:rsid w:val="00D56E02"/>
    <w:rsid w:val="00D57284"/>
    <w:rsid w:val="00D57302"/>
    <w:rsid w:val="00D573F2"/>
    <w:rsid w:val="00D573FD"/>
    <w:rsid w:val="00D57472"/>
    <w:rsid w:val="00D57716"/>
    <w:rsid w:val="00D579C2"/>
    <w:rsid w:val="00D57AAA"/>
    <w:rsid w:val="00D600CF"/>
    <w:rsid w:val="00D60174"/>
    <w:rsid w:val="00D602DA"/>
    <w:rsid w:val="00D602FB"/>
    <w:rsid w:val="00D60314"/>
    <w:rsid w:val="00D6036B"/>
    <w:rsid w:val="00D603B6"/>
    <w:rsid w:val="00D603F7"/>
    <w:rsid w:val="00D61697"/>
    <w:rsid w:val="00D6185C"/>
    <w:rsid w:val="00D61900"/>
    <w:rsid w:val="00D62429"/>
    <w:rsid w:val="00D626D2"/>
    <w:rsid w:val="00D62977"/>
    <w:rsid w:val="00D62FCE"/>
    <w:rsid w:val="00D6340E"/>
    <w:rsid w:val="00D6374E"/>
    <w:rsid w:val="00D63AAD"/>
    <w:rsid w:val="00D63C88"/>
    <w:rsid w:val="00D63D7C"/>
    <w:rsid w:val="00D64245"/>
    <w:rsid w:val="00D647A1"/>
    <w:rsid w:val="00D64928"/>
    <w:rsid w:val="00D64A1A"/>
    <w:rsid w:val="00D64C5E"/>
    <w:rsid w:val="00D64F35"/>
    <w:rsid w:val="00D65B0F"/>
    <w:rsid w:val="00D65DA0"/>
    <w:rsid w:val="00D65E4D"/>
    <w:rsid w:val="00D660A6"/>
    <w:rsid w:val="00D66300"/>
    <w:rsid w:val="00D66816"/>
    <w:rsid w:val="00D6684C"/>
    <w:rsid w:val="00D66D46"/>
    <w:rsid w:val="00D66DF0"/>
    <w:rsid w:val="00D673DF"/>
    <w:rsid w:val="00D678FB"/>
    <w:rsid w:val="00D679A5"/>
    <w:rsid w:val="00D67ACD"/>
    <w:rsid w:val="00D67C1D"/>
    <w:rsid w:val="00D67D9C"/>
    <w:rsid w:val="00D70008"/>
    <w:rsid w:val="00D70009"/>
    <w:rsid w:val="00D7042C"/>
    <w:rsid w:val="00D705F8"/>
    <w:rsid w:val="00D7086F"/>
    <w:rsid w:val="00D70973"/>
    <w:rsid w:val="00D70D54"/>
    <w:rsid w:val="00D717E2"/>
    <w:rsid w:val="00D719A9"/>
    <w:rsid w:val="00D71A4B"/>
    <w:rsid w:val="00D71DA4"/>
    <w:rsid w:val="00D7237F"/>
    <w:rsid w:val="00D72523"/>
    <w:rsid w:val="00D72E3B"/>
    <w:rsid w:val="00D73362"/>
    <w:rsid w:val="00D73666"/>
    <w:rsid w:val="00D73890"/>
    <w:rsid w:val="00D73ABC"/>
    <w:rsid w:val="00D7406E"/>
    <w:rsid w:val="00D741E9"/>
    <w:rsid w:val="00D74AD7"/>
    <w:rsid w:val="00D74C40"/>
    <w:rsid w:val="00D74DAC"/>
    <w:rsid w:val="00D74EA5"/>
    <w:rsid w:val="00D74F98"/>
    <w:rsid w:val="00D7525C"/>
    <w:rsid w:val="00D75702"/>
    <w:rsid w:val="00D7585E"/>
    <w:rsid w:val="00D75A9A"/>
    <w:rsid w:val="00D75B2A"/>
    <w:rsid w:val="00D75D75"/>
    <w:rsid w:val="00D7627C"/>
    <w:rsid w:val="00D76524"/>
    <w:rsid w:val="00D7688E"/>
    <w:rsid w:val="00D77572"/>
    <w:rsid w:val="00D77695"/>
    <w:rsid w:val="00D8019F"/>
    <w:rsid w:val="00D802FE"/>
    <w:rsid w:val="00D80418"/>
    <w:rsid w:val="00D808AE"/>
    <w:rsid w:val="00D80B72"/>
    <w:rsid w:val="00D80C83"/>
    <w:rsid w:val="00D80D86"/>
    <w:rsid w:val="00D8100A"/>
    <w:rsid w:val="00D8122F"/>
    <w:rsid w:val="00D81487"/>
    <w:rsid w:val="00D81C6D"/>
    <w:rsid w:val="00D8200C"/>
    <w:rsid w:val="00D82547"/>
    <w:rsid w:val="00D82A36"/>
    <w:rsid w:val="00D82B00"/>
    <w:rsid w:val="00D82BCA"/>
    <w:rsid w:val="00D83039"/>
    <w:rsid w:val="00D833CD"/>
    <w:rsid w:val="00D83563"/>
    <w:rsid w:val="00D83567"/>
    <w:rsid w:val="00D83699"/>
    <w:rsid w:val="00D8374B"/>
    <w:rsid w:val="00D837C8"/>
    <w:rsid w:val="00D83968"/>
    <w:rsid w:val="00D84100"/>
    <w:rsid w:val="00D84379"/>
    <w:rsid w:val="00D84412"/>
    <w:rsid w:val="00D844ED"/>
    <w:rsid w:val="00D8497A"/>
    <w:rsid w:val="00D84A17"/>
    <w:rsid w:val="00D84A90"/>
    <w:rsid w:val="00D84B07"/>
    <w:rsid w:val="00D84C81"/>
    <w:rsid w:val="00D84ECD"/>
    <w:rsid w:val="00D84EFD"/>
    <w:rsid w:val="00D84FF4"/>
    <w:rsid w:val="00D85255"/>
    <w:rsid w:val="00D85480"/>
    <w:rsid w:val="00D855D1"/>
    <w:rsid w:val="00D85F00"/>
    <w:rsid w:val="00D8640D"/>
    <w:rsid w:val="00D865B2"/>
    <w:rsid w:val="00D86615"/>
    <w:rsid w:val="00D86C76"/>
    <w:rsid w:val="00D87019"/>
    <w:rsid w:val="00D870C3"/>
    <w:rsid w:val="00D876C5"/>
    <w:rsid w:val="00D87717"/>
    <w:rsid w:val="00D87D81"/>
    <w:rsid w:val="00D907CF"/>
    <w:rsid w:val="00D9091A"/>
    <w:rsid w:val="00D90A95"/>
    <w:rsid w:val="00D90B68"/>
    <w:rsid w:val="00D91216"/>
    <w:rsid w:val="00D91462"/>
    <w:rsid w:val="00D91CE5"/>
    <w:rsid w:val="00D91E43"/>
    <w:rsid w:val="00D92445"/>
    <w:rsid w:val="00D92615"/>
    <w:rsid w:val="00D92E33"/>
    <w:rsid w:val="00D92F11"/>
    <w:rsid w:val="00D92FFD"/>
    <w:rsid w:val="00D93066"/>
    <w:rsid w:val="00D931A6"/>
    <w:rsid w:val="00D93ACD"/>
    <w:rsid w:val="00D93AEF"/>
    <w:rsid w:val="00D93BB2"/>
    <w:rsid w:val="00D93C56"/>
    <w:rsid w:val="00D93C81"/>
    <w:rsid w:val="00D94229"/>
    <w:rsid w:val="00D94447"/>
    <w:rsid w:val="00D9459C"/>
    <w:rsid w:val="00D94854"/>
    <w:rsid w:val="00D94951"/>
    <w:rsid w:val="00D94DD8"/>
    <w:rsid w:val="00D94DF1"/>
    <w:rsid w:val="00D956CB"/>
    <w:rsid w:val="00D9571D"/>
    <w:rsid w:val="00D95757"/>
    <w:rsid w:val="00D95820"/>
    <w:rsid w:val="00D9598C"/>
    <w:rsid w:val="00D95AC2"/>
    <w:rsid w:val="00D95DBD"/>
    <w:rsid w:val="00D964B6"/>
    <w:rsid w:val="00D96AF6"/>
    <w:rsid w:val="00D96B9F"/>
    <w:rsid w:val="00D96BDB"/>
    <w:rsid w:val="00D96C28"/>
    <w:rsid w:val="00D96DFF"/>
    <w:rsid w:val="00D96EA9"/>
    <w:rsid w:val="00D96F9D"/>
    <w:rsid w:val="00D97162"/>
    <w:rsid w:val="00D9718E"/>
    <w:rsid w:val="00D97524"/>
    <w:rsid w:val="00D97702"/>
    <w:rsid w:val="00D97A74"/>
    <w:rsid w:val="00D97DE3"/>
    <w:rsid w:val="00D97F13"/>
    <w:rsid w:val="00D97FC5"/>
    <w:rsid w:val="00DA07DB"/>
    <w:rsid w:val="00DA099A"/>
    <w:rsid w:val="00DA0A74"/>
    <w:rsid w:val="00DA0B4A"/>
    <w:rsid w:val="00DA0D3C"/>
    <w:rsid w:val="00DA0FA4"/>
    <w:rsid w:val="00DA1374"/>
    <w:rsid w:val="00DA1653"/>
    <w:rsid w:val="00DA200A"/>
    <w:rsid w:val="00DA2053"/>
    <w:rsid w:val="00DA20ED"/>
    <w:rsid w:val="00DA249B"/>
    <w:rsid w:val="00DA29BD"/>
    <w:rsid w:val="00DA2ED9"/>
    <w:rsid w:val="00DA3C65"/>
    <w:rsid w:val="00DA476C"/>
    <w:rsid w:val="00DA4ADC"/>
    <w:rsid w:val="00DA4C33"/>
    <w:rsid w:val="00DA4C5C"/>
    <w:rsid w:val="00DA504A"/>
    <w:rsid w:val="00DA5304"/>
    <w:rsid w:val="00DA5319"/>
    <w:rsid w:val="00DA5CC5"/>
    <w:rsid w:val="00DA6262"/>
    <w:rsid w:val="00DA65FB"/>
    <w:rsid w:val="00DA674D"/>
    <w:rsid w:val="00DA6A0F"/>
    <w:rsid w:val="00DA6F2E"/>
    <w:rsid w:val="00DA7071"/>
    <w:rsid w:val="00DA73D9"/>
    <w:rsid w:val="00DA7601"/>
    <w:rsid w:val="00DA7B11"/>
    <w:rsid w:val="00DA7C3D"/>
    <w:rsid w:val="00DA7C5B"/>
    <w:rsid w:val="00DA7EAA"/>
    <w:rsid w:val="00DB0065"/>
    <w:rsid w:val="00DB01A5"/>
    <w:rsid w:val="00DB0452"/>
    <w:rsid w:val="00DB061A"/>
    <w:rsid w:val="00DB073B"/>
    <w:rsid w:val="00DB0C4A"/>
    <w:rsid w:val="00DB0DD1"/>
    <w:rsid w:val="00DB0EF0"/>
    <w:rsid w:val="00DB12C0"/>
    <w:rsid w:val="00DB1580"/>
    <w:rsid w:val="00DB1DA3"/>
    <w:rsid w:val="00DB1FC1"/>
    <w:rsid w:val="00DB2223"/>
    <w:rsid w:val="00DB224E"/>
    <w:rsid w:val="00DB2701"/>
    <w:rsid w:val="00DB271F"/>
    <w:rsid w:val="00DB2EDF"/>
    <w:rsid w:val="00DB30F5"/>
    <w:rsid w:val="00DB3333"/>
    <w:rsid w:val="00DB3510"/>
    <w:rsid w:val="00DB3576"/>
    <w:rsid w:val="00DB35B5"/>
    <w:rsid w:val="00DB36E3"/>
    <w:rsid w:val="00DB3BDA"/>
    <w:rsid w:val="00DB3FF6"/>
    <w:rsid w:val="00DB4374"/>
    <w:rsid w:val="00DB46C3"/>
    <w:rsid w:val="00DB49B9"/>
    <w:rsid w:val="00DB4B1D"/>
    <w:rsid w:val="00DB4B50"/>
    <w:rsid w:val="00DB4B56"/>
    <w:rsid w:val="00DB4C8F"/>
    <w:rsid w:val="00DB4F0F"/>
    <w:rsid w:val="00DB51AC"/>
    <w:rsid w:val="00DB56B9"/>
    <w:rsid w:val="00DB5793"/>
    <w:rsid w:val="00DB5E33"/>
    <w:rsid w:val="00DB601D"/>
    <w:rsid w:val="00DB6027"/>
    <w:rsid w:val="00DB61DB"/>
    <w:rsid w:val="00DB61F8"/>
    <w:rsid w:val="00DB621E"/>
    <w:rsid w:val="00DB625C"/>
    <w:rsid w:val="00DB663E"/>
    <w:rsid w:val="00DB672E"/>
    <w:rsid w:val="00DB6E38"/>
    <w:rsid w:val="00DB6F40"/>
    <w:rsid w:val="00DB6FB5"/>
    <w:rsid w:val="00DB71A1"/>
    <w:rsid w:val="00DB7212"/>
    <w:rsid w:val="00DB737A"/>
    <w:rsid w:val="00DB7768"/>
    <w:rsid w:val="00DB7A2E"/>
    <w:rsid w:val="00DB7AD7"/>
    <w:rsid w:val="00DB7CCA"/>
    <w:rsid w:val="00DB7F45"/>
    <w:rsid w:val="00DC01C5"/>
    <w:rsid w:val="00DC098E"/>
    <w:rsid w:val="00DC0A1F"/>
    <w:rsid w:val="00DC11EE"/>
    <w:rsid w:val="00DC14C0"/>
    <w:rsid w:val="00DC14D4"/>
    <w:rsid w:val="00DC1624"/>
    <w:rsid w:val="00DC1E7D"/>
    <w:rsid w:val="00DC1ED5"/>
    <w:rsid w:val="00DC257B"/>
    <w:rsid w:val="00DC2CC1"/>
    <w:rsid w:val="00DC2CE6"/>
    <w:rsid w:val="00DC2F31"/>
    <w:rsid w:val="00DC2FA2"/>
    <w:rsid w:val="00DC2FDC"/>
    <w:rsid w:val="00DC3393"/>
    <w:rsid w:val="00DC35EB"/>
    <w:rsid w:val="00DC3F89"/>
    <w:rsid w:val="00DC3F9F"/>
    <w:rsid w:val="00DC414F"/>
    <w:rsid w:val="00DC4243"/>
    <w:rsid w:val="00DC4295"/>
    <w:rsid w:val="00DC45C7"/>
    <w:rsid w:val="00DC4B78"/>
    <w:rsid w:val="00DC4B87"/>
    <w:rsid w:val="00DC506A"/>
    <w:rsid w:val="00DC5196"/>
    <w:rsid w:val="00DC5305"/>
    <w:rsid w:val="00DC5391"/>
    <w:rsid w:val="00DC5569"/>
    <w:rsid w:val="00DC57F3"/>
    <w:rsid w:val="00DC5836"/>
    <w:rsid w:val="00DC58E3"/>
    <w:rsid w:val="00DC5AFF"/>
    <w:rsid w:val="00DC60E0"/>
    <w:rsid w:val="00DC61B8"/>
    <w:rsid w:val="00DC6284"/>
    <w:rsid w:val="00DC6DA0"/>
    <w:rsid w:val="00DC6E8D"/>
    <w:rsid w:val="00DC704D"/>
    <w:rsid w:val="00DC7462"/>
    <w:rsid w:val="00DC764C"/>
    <w:rsid w:val="00DC7F5D"/>
    <w:rsid w:val="00DD0150"/>
    <w:rsid w:val="00DD0390"/>
    <w:rsid w:val="00DD0ADB"/>
    <w:rsid w:val="00DD0E9D"/>
    <w:rsid w:val="00DD1009"/>
    <w:rsid w:val="00DD1121"/>
    <w:rsid w:val="00DD1267"/>
    <w:rsid w:val="00DD1436"/>
    <w:rsid w:val="00DD151C"/>
    <w:rsid w:val="00DD1871"/>
    <w:rsid w:val="00DD1DC6"/>
    <w:rsid w:val="00DD1FDC"/>
    <w:rsid w:val="00DD2067"/>
    <w:rsid w:val="00DD20BD"/>
    <w:rsid w:val="00DD2216"/>
    <w:rsid w:val="00DD30A0"/>
    <w:rsid w:val="00DD312B"/>
    <w:rsid w:val="00DD3343"/>
    <w:rsid w:val="00DD3983"/>
    <w:rsid w:val="00DD3B13"/>
    <w:rsid w:val="00DD3BFF"/>
    <w:rsid w:val="00DD3E03"/>
    <w:rsid w:val="00DD4701"/>
    <w:rsid w:val="00DD4CB3"/>
    <w:rsid w:val="00DD5199"/>
    <w:rsid w:val="00DD522E"/>
    <w:rsid w:val="00DD523F"/>
    <w:rsid w:val="00DD5AF4"/>
    <w:rsid w:val="00DD5C26"/>
    <w:rsid w:val="00DD5E4B"/>
    <w:rsid w:val="00DD60FA"/>
    <w:rsid w:val="00DD67C7"/>
    <w:rsid w:val="00DD6D37"/>
    <w:rsid w:val="00DD7B51"/>
    <w:rsid w:val="00DE0259"/>
    <w:rsid w:val="00DE02FD"/>
    <w:rsid w:val="00DE0791"/>
    <w:rsid w:val="00DE0CB3"/>
    <w:rsid w:val="00DE0D0E"/>
    <w:rsid w:val="00DE126F"/>
    <w:rsid w:val="00DE1E4D"/>
    <w:rsid w:val="00DE2579"/>
    <w:rsid w:val="00DE2821"/>
    <w:rsid w:val="00DE2958"/>
    <w:rsid w:val="00DE2C32"/>
    <w:rsid w:val="00DE30C5"/>
    <w:rsid w:val="00DE332D"/>
    <w:rsid w:val="00DE3413"/>
    <w:rsid w:val="00DE34E4"/>
    <w:rsid w:val="00DE38EC"/>
    <w:rsid w:val="00DE3990"/>
    <w:rsid w:val="00DE3B02"/>
    <w:rsid w:val="00DE3BE8"/>
    <w:rsid w:val="00DE3EFD"/>
    <w:rsid w:val="00DE3F72"/>
    <w:rsid w:val="00DE40AF"/>
    <w:rsid w:val="00DE4527"/>
    <w:rsid w:val="00DE4571"/>
    <w:rsid w:val="00DE4633"/>
    <w:rsid w:val="00DE46CB"/>
    <w:rsid w:val="00DE46DD"/>
    <w:rsid w:val="00DE4F60"/>
    <w:rsid w:val="00DE51D2"/>
    <w:rsid w:val="00DE523F"/>
    <w:rsid w:val="00DE53CD"/>
    <w:rsid w:val="00DE5433"/>
    <w:rsid w:val="00DE5445"/>
    <w:rsid w:val="00DE58E8"/>
    <w:rsid w:val="00DE5A84"/>
    <w:rsid w:val="00DE5D39"/>
    <w:rsid w:val="00DE6348"/>
    <w:rsid w:val="00DE6A14"/>
    <w:rsid w:val="00DE6A5A"/>
    <w:rsid w:val="00DE6D72"/>
    <w:rsid w:val="00DE6DEE"/>
    <w:rsid w:val="00DE7629"/>
    <w:rsid w:val="00DE7911"/>
    <w:rsid w:val="00DE7A95"/>
    <w:rsid w:val="00DE7CD8"/>
    <w:rsid w:val="00DE7DB1"/>
    <w:rsid w:val="00DF0363"/>
    <w:rsid w:val="00DF0712"/>
    <w:rsid w:val="00DF074D"/>
    <w:rsid w:val="00DF0899"/>
    <w:rsid w:val="00DF0E10"/>
    <w:rsid w:val="00DF0ED1"/>
    <w:rsid w:val="00DF1864"/>
    <w:rsid w:val="00DF1C92"/>
    <w:rsid w:val="00DF204A"/>
    <w:rsid w:val="00DF21A9"/>
    <w:rsid w:val="00DF223C"/>
    <w:rsid w:val="00DF2250"/>
    <w:rsid w:val="00DF25B7"/>
    <w:rsid w:val="00DF2951"/>
    <w:rsid w:val="00DF2CCA"/>
    <w:rsid w:val="00DF2E5E"/>
    <w:rsid w:val="00DF2FBD"/>
    <w:rsid w:val="00DF3135"/>
    <w:rsid w:val="00DF32F6"/>
    <w:rsid w:val="00DF3762"/>
    <w:rsid w:val="00DF3A67"/>
    <w:rsid w:val="00DF3DC9"/>
    <w:rsid w:val="00DF3FEF"/>
    <w:rsid w:val="00DF427F"/>
    <w:rsid w:val="00DF4347"/>
    <w:rsid w:val="00DF4B55"/>
    <w:rsid w:val="00DF4B67"/>
    <w:rsid w:val="00DF4D41"/>
    <w:rsid w:val="00DF4D70"/>
    <w:rsid w:val="00DF4DA3"/>
    <w:rsid w:val="00DF56E0"/>
    <w:rsid w:val="00DF60FB"/>
    <w:rsid w:val="00DF61D6"/>
    <w:rsid w:val="00DF6415"/>
    <w:rsid w:val="00DF6C96"/>
    <w:rsid w:val="00DF6E32"/>
    <w:rsid w:val="00DF7068"/>
    <w:rsid w:val="00DF7C22"/>
    <w:rsid w:val="00DF7CEA"/>
    <w:rsid w:val="00DF7E63"/>
    <w:rsid w:val="00E005DB"/>
    <w:rsid w:val="00E00641"/>
    <w:rsid w:val="00E00D2F"/>
    <w:rsid w:val="00E01131"/>
    <w:rsid w:val="00E0181A"/>
    <w:rsid w:val="00E019F9"/>
    <w:rsid w:val="00E01BB3"/>
    <w:rsid w:val="00E02528"/>
    <w:rsid w:val="00E02785"/>
    <w:rsid w:val="00E02D43"/>
    <w:rsid w:val="00E02DE5"/>
    <w:rsid w:val="00E02FFE"/>
    <w:rsid w:val="00E034A5"/>
    <w:rsid w:val="00E03502"/>
    <w:rsid w:val="00E039AC"/>
    <w:rsid w:val="00E03A05"/>
    <w:rsid w:val="00E03BCB"/>
    <w:rsid w:val="00E04175"/>
    <w:rsid w:val="00E041B2"/>
    <w:rsid w:val="00E04ACE"/>
    <w:rsid w:val="00E04D08"/>
    <w:rsid w:val="00E04D20"/>
    <w:rsid w:val="00E04E26"/>
    <w:rsid w:val="00E051A7"/>
    <w:rsid w:val="00E0521F"/>
    <w:rsid w:val="00E0575A"/>
    <w:rsid w:val="00E05A35"/>
    <w:rsid w:val="00E05B3F"/>
    <w:rsid w:val="00E06017"/>
    <w:rsid w:val="00E061DA"/>
    <w:rsid w:val="00E066BD"/>
    <w:rsid w:val="00E0683E"/>
    <w:rsid w:val="00E06938"/>
    <w:rsid w:val="00E06B2E"/>
    <w:rsid w:val="00E06F04"/>
    <w:rsid w:val="00E076F7"/>
    <w:rsid w:val="00E07978"/>
    <w:rsid w:val="00E079A1"/>
    <w:rsid w:val="00E07F4D"/>
    <w:rsid w:val="00E1000E"/>
    <w:rsid w:val="00E10024"/>
    <w:rsid w:val="00E102EC"/>
    <w:rsid w:val="00E105E8"/>
    <w:rsid w:val="00E10C7D"/>
    <w:rsid w:val="00E10F82"/>
    <w:rsid w:val="00E10FBD"/>
    <w:rsid w:val="00E110D6"/>
    <w:rsid w:val="00E1170A"/>
    <w:rsid w:val="00E11A76"/>
    <w:rsid w:val="00E11B59"/>
    <w:rsid w:val="00E11BCA"/>
    <w:rsid w:val="00E11F11"/>
    <w:rsid w:val="00E1214E"/>
    <w:rsid w:val="00E124FA"/>
    <w:rsid w:val="00E12B65"/>
    <w:rsid w:val="00E12D58"/>
    <w:rsid w:val="00E13368"/>
    <w:rsid w:val="00E14001"/>
    <w:rsid w:val="00E140CD"/>
    <w:rsid w:val="00E141F5"/>
    <w:rsid w:val="00E1432D"/>
    <w:rsid w:val="00E14485"/>
    <w:rsid w:val="00E14F79"/>
    <w:rsid w:val="00E14F9C"/>
    <w:rsid w:val="00E15197"/>
    <w:rsid w:val="00E151E0"/>
    <w:rsid w:val="00E1558C"/>
    <w:rsid w:val="00E15646"/>
    <w:rsid w:val="00E15688"/>
    <w:rsid w:val="00E15863"/>
    <w:rsid w:val="00E1588A"/>
    <w:rsid w:val="00E15A9D"/>
    <w:rsid w:val="00E161C1"/>
    <w:rsid w:val="00E16339"/>
    <w:rsid w:val="00E1637B"/>
    <w:rsid w:val="00E163C5"/>
    <w:rsid w:val="00E16475"/>
    <w:rsid w:val="00E165DF"/>
    <w:rsid w:val="00E16619"/>
    <w:rsid w:val="00E1687C"/>
    <w:rsid w:val="00E169DB"/>
    <w:rsid w:val="00E16CAD"/>
    <w:rsid w:val="00E17371"/>
    <w:rsid w:val="00E1745B"/>
    <w:rsid w:val="00E1760B"/>
    <w:rsid w:val="00E2050B"/>
    <w:rsid w:val="00E208C3"/>
    <w:rsid w:val="00E20927"/>
    <w:rsid w:val="00E209FA"/>
    <w:rsid w:val="00E20AB6"/>
    <w:rsid w:val="00E20D8D"/>
    <w:rsid w:val="00E20E2B"/>
    <w:rsid w:val="00E210D8"/>
    <w:rsid w:val="00E212F7"/>
    <w:rsid w:val="00E214A9"/>
    <w:rsid w:val="00E21921"/>
    <w:rsid w:val="00E22154"/>
    <w:rsid w:val="00E224CD"/>
    <w:rsid w:val="00E2285C"/>
    <w:rsid w:val="00E23B1D"/>
    <w:rsid w:val="00E24103"/>
    <w:rsid w:val="00E2425E"/>
    <w:rsid w:val="00E244BE"/>
    <w:rsid w:val="00E245FB"/>
    <w:rsid w:val="00E246BA"/>
    <w:rsid w:val="00E24AFF"/>
    <w:rsid w:val="00E24B3F"/>
    <w:rsid w:val="00E24BA5"/>
    <w:rsid w:val="00E24C54"/>
    <w:rsid w:val="00E24C6A"/>
    <w:rsid w:val="00E24D81"/>
    <w:rsid w:val="00E24DEF"/>
    <w:rsid w:val="00E24EED"/>
    <w:rsid w:val="00E253C3"/>
    <w:rsid w:val="00E255EC"/>
    <w:rsid w:val="00E259F7"/>
    <w:rsid w:val="00E25B3E"/>
    <w:rsid w:val="00E25EA9"/>
    <w:rsid w:val="00E25EB4"/>
    <w:rsid w:val="00E2613C"/>
    <w:rsid w:val="00E26DE6"/>
    <w:rsid w:val="00E26E53"/>
    <w:rsid w:val="00E2709A"/>
    <w:rsid w:val="00E271D2"/>
    <w:rsid w:val="00E27583"/>
    <w:rsid w:val="00E2789D"/>
    <w:rsid w:val="00E27B23"/>
    <w:rsid w:val="00E27BDD"/>
    <w:rsid w:val="00E27DE2"/>
    <w:rsid w:val="00E27EF9"/>
    <w:rsid w:val="00E3027F"/>
    <w:rsid w:val="00E30401"/>
    <w:rsid w:val="00E305EF"/>
    <w:rsid w:val="00E31271"/>
    <w:rsid w:val="00E315BE"/>
    <w:rsid w:val="00E31BCA"/>
    <w:rsid w:val="00E31DC5"/>
    <w:rsid w:val="00E31F72"/>
    <w:rsid w:val="00E3238F"/>
    <w:rsid w:val="00E32986"/>
    <w:rsid w:val="00E32C16"/>
    <w:rsid w:val="00E331B1"/>
    <w:rsid w:val="00E333F8"/>
    <w:rsid w:val="00E335DC"/>
    <w:rsid w:val="00E33774"/>
    <w:rsid w:val="00E33DD1"/>
    <w:rsid w:val="00E34456"/>
    <w:rsid w:val="00E34595"/>
    <w:rsid w:val="00E34D1D"/>
    <w:rsid w:val="00E3505E"/>
    <w:rsid w:val="00E353C9"/>
    <w:rsid w:val="00E3544B"/>
    <w:rsid w:val="00E3572D"/>
    <w:rsid w:val="00E358E7"/>
    <w:rsid w:val="00E35CDB"/>
    <w:rsid w:val="00E35DB7"/>
    <w:rsid w:val="00E35E3B"/>
    <w:rsid w:val="00E3604C"/>
    <w:rsid w:val="00E3635E"/>
    <w:rsid w:val="00E36362"/>
    <w:rsid w:val="00E366D0"/>
    <w:rsid w:val="00E3678A"/>
    <w:rsid w:val="00E36AB5"/>
    <w:rsid w:val="00E36F67"/>
    <w:rsid w:val="00E37093"/>
    <w:rsid w:val="00E37570"/>
    <w:rsid w:val="00E377D6"/>
    <w:rsid w:val="00E37966"/>
    <w:rsid w:val="00E37ABD"/>
    <w:rsid w:val="00E37BAC"/>
    <w:rsid w:val="00E37CB4"/>
    <w:rsid w:val="00E37E27"/>
    <w:rsid w:val="00E40552"/>
    <w:rsid w:val="00E4095A"/>
    <w:rsid w:val="00E40C5A"/>
    <w:rsid w:val="00E40D39"/>
    <w:rsid w:val="00E40EEE"/>
    <w:rsid w:val="00E410BD"/>
    <w:rsid w:val="00E4117C"/>
    <w:rsid w:val="00E41317"/>
    <w:rsid w:val="00E4144D"/>
    <w:rsid w:val="00E417C9"/>
    <w:rsid w:val="00E41D44"/>
    <w:rsid w:val="00E42339"/>
    <w:rsid w:val="00E424E0"/>
    <w:rsid w:val="00E4253C"/>
    <w:rsid w:val="00E435B6"/>
    <w:rsid w:val="00E43615"/>
    <w:rsid w:val="00E436D9"/>
    <w:rsid w:val="00E43800"/>
    <w:rsid w:val="00E4384E"/>
    <w:rsid w:val="00E43863"/>
    <w:rsid w:val="00E43CF7"/>
    <w:rsid w:val="00E43E61"/>
    <w:rsid w:val="00E4410D"/>
    <w:rsid w:val="00E44228"/>
    <w:rsid w:val="00E4443A"/>
    <w:rsid w:val="00E44641"/>
    <w:rsid w:val="00E44674"/>
    <w:rsid w:val="00E446B3"/>
    <w:rsid w:val="00E449C8"/>
    <w:rsid w:val="00E449C9"/>
    <w:rsid w:val="00E4596D"/>
    <w:rsid w:val="00E45AFF"/>
    <w:rsid w:val="00E45BDF"/>
    <w:rsid w:val="00E46120"/>
    <w:rsid w:val="00E46767"/>
    <w:rsid w:val="00E467AF"/>
    <w:rsid w:val="00E467C2"/>
    <w:rsid w:val="00E469C9"/>
    <w:rsid w:val="00E46BB3"/>
    <w:rsid w:val="00E46DAD"/>
    <w:rsid w:val="00E46E29"/>
    <w:rsid w:val="00E46F07"/>
    <w:rsid w:val="00E46FAC"/>
    <w:rsid w:val="00E472CD"/>
    <w:rsid w:val="00E473F0"/>
    <w:rsid w:val="00E4748D"/>
    <w:rsid w:val="00E47768"/>
    <w:rsid w:val="00E479F8"/>
    <w:rsid w:val="00E47A23"/>
    <w:rsid w:val="00E47B67"/>
    <w:rsid w:val="00E47F52"/>
    <w:rsid w:val="00E47F57"/>
    <w:rsid w:val="00E506F1"/>
    <w:rsid w:val="00E507FF"/>
    <w:rsid w:val="00E50808"/>
    <w:rsid w:val="00E50EFB"/>
    <w:rsid w:val="00E511B7"/>
    <w:rsid w:val="00E5137B"/>
    <w:rsid w:val="00E5141B"/>
    <w:rsid w:val="00E5185F"/>
    <w:rsid w:val="00E51B25"/>
    <w:rsid w:val="00E51B9D"/>
    <w:rsid w:val="00E51CF1"/>
    <w:rsid w:val="00E51FAA"/>
    <w:rsid w:val="00E5226C"/>
    <w:rsid w:val="00E52496"/>
    <w:rsid w:val="00E52C80"/>
    <w:rsid w:val="00E52F76"/>
    <w:rsid w:val="00E52FFC"/>
    <w:rsid w:val="00E530CB"/>
    <w:rsid w:val="00E535F4"/>
    <w:rsid w:val="00E53A8E"/>
    <w:rsid w:val="00E53DEA"/>
    <w:rsid w:val="00E541A3"/>
    <w:rsid w:val="00E54463"/>
    <w:rsid w:val="00E545AE"/>
    <w:rsid w:val="00E54AA1"/>
    <w:rsid w:val="00E54B6A"/>
    <w:rsid w:val="00E5503D"/>
    <w:rsid w:val="00E55373"/>
    <w:rsid w:val="00E5554C"/>
    <w:rsid w:val="00E5599B"/>
    <w:rsid w:val="00E55B65"/>
    <w:rsid w:val="00E55D7B"/>
    <w:rsid w:val="00E55FE6"/>
    <w:rsid w:val="00E564A9"/>
    <w:rsid w:val="00E56511"/>
    <w:rsid w:val="00E5659B"/>
    <w:rsid w:val="00E567A7"/>
    <w:rsid w:val="00E568AC"/>
    <w:rsid w:val="00E56E93"/>
    <w:rsid w:val="00E5709E"/>
    <w:rsid w:val="00E57239"/>
    <w:rsid w:val="00E574FA"/>
    <w:rsid w:val="00E57682"/>
    <w:rsid w:val="00E576FA"/>
    <w:rsid w:val="00E57968"/>
    <w:rsid w:val="00E57A15"/>
    <w:rsid w:val="00E601F1"/>
    <w:rsid w:val="00E6048E"/>
    <w:rsid w:val="00E60550"/>
    <w:rsid w:val="00E60576"/>
    <w:rsid w:val="00E6079D"/>
    <w:rsid w:val="00E60B93"/>
    <w:rsid w:val="00E60D15"/>
    <w:rsid w:val="00E6117D"/>
    <w:rsid w:val="00E6129B"/>
    <w:rsid w:val="00E6185E"/>
    <w:rsid w:val="00E618A7"/>
    <w:rsid w:val="00E61F0A"/>
    <w:rsid w:val="00E61F4A"/>
    <w:rsid w:val="00E622EB"/>
    <w:rsid w:val="00E625AE"/>
    <w:rsid w:val="00E627F3"/>
    <w:rsid w:val="00E6281A"/>
    <w:rsid w:val="00E62B3B"/>
    <w:rsid w:val="00E62EDE"/>
    <w:rsid w:val="00E6342D"/>
    <w:rsid w:val="00E63940"/>
    <w:rsid w:val="00E639B6"/>
    <w:rsid w:val="00E63AFF"/>
    <w:rsid w:val="00E63C3A"/>
    <w:rsid w:val="00E64874"/>
    <w:rsid w:val="00E648E2"/>
    <w:rsid w:val="00E656A6"/>
    <w:rsid w:val="00E6599D"/>
    <w:rsid w:val="00E65C35"/>
    <w:rsid w:val="00E661AD"/>
    <w:rsid w:val="00E661D3"/>
    <w:rsid w:val="00E6625A"/>
    <w:rsid w:val="00E66666"/>
    <w:rsid w:val="00E66904"/>
    <w:rsid w:val="00E66976"/>
    <w:rsid w:val="00E669F7"/>
    <w:rsid w:val="00E66AEA"/>
    <w:rsid w:val="00E674F6"/>
    <w:rsid w:val="00E675F8"/>
    <w:rsid w:val="00E67776"/>
    <w:rsid w:val="00E678AA"/>
    <w:rsid w:val="00E6791F"/>
    <w:rsid w:val="00E67F67"/>
    <w:rsid w:val="00E67FAE"/>
    <w:rsid w:val="00E70045"/>
    <w:rsid w:val="00E70072"/>
    <w:rsid w:val="00E700A9"/>
    <w:rsid w:val="00E70148"/>
    <w:rsid w:val="00E7024F"/>
    <w:rsid w:val="00E70384"/>
    <w:rsid w:val="00E7064C"/>
    <w:rsid w:val="00E71111"/>
    <w:rsid w:val="00E714DE"/>
    <w:rsid w:val="00E715FA"/>
    <w:rsid w:val="00E7178A"/>
    <w:rsid w:val="00E71C12"/>
    <w:rsid w:val="00E71F7F"/>
    <w:rsid w:val="00E7215F"/>
    <w:rsid w:val="00E722F4"/>
    <w:rsid w:val="00E724ED"/>
    <w:rsid w:val="00E72650"/>
    <w:rsid w:val="00E72AEC"/>
    <w:rsid w:val="00E72D4A"/>
    <w:rsid w:val="00E72E7D"/>
    <w:rsid w:val="00E733DC"/>
    <w:rsid w:val="00E73771"/>
    <w:rsid w:val="00E737B7"/>
    <w:rsid w:val="00E73ADB"/>
    <w:rsid w:val="00E744CD"/>
    <w:rsid w:val="00E745F0"/>
    <w:rsid w:val="00E74B32"/>
    <w:rsid w:val="00E74B8C"/>
    <w:rsid w:val="00E74EB7"/>
    <w:rsid w:val="00E75293"/>
    <w:rsid w:val="00E75296"/>
    <w:rsid w:val="00E755BF"/>
    <w:rsid w:val="00E7567A"/>
    <w:rsid w:val="00E75702"/>
    <w:rsid w:val="00E75839"/>
    <w:rsid w:val="00E758B9"/>
    <w:rsid w:val="00E7592D"/>
    <w:rsid w:val="00E75BE6"/>
    <w:rsid w:val="00E76486"/>
    <w:rsid w:val="00E76ED2"/>
    <w:rsid w:val="00E76F4C"/>
    <w:rsid w:val="00E77027"/>
    <w:rsid w:val="00E7715D"/>
    <w:rsid w:val="00E77639"/>
    <w:rsid w:val="00E77A07"/>
    <w:rsid w:val="00E7D3C0"/>
    <w:rsid w:val="00E801D9"/>
    <w:rsid w:val="00E80561"/>
    <w:rsid w:val="00E80BF2"/>
    <w:rsid w:val="00E80C95"/>
    <w:rsid w:val="00E80CCF"/>
    <w:rsid w:val="00E80F86"/>
    <w:rsid w:val="00E8115C"/>
    <w:rsid w:val="00E8126C"/>
    <w:rsid w:val="00E81445"/>
    <w:rsid w:val="00E818AC"/>
    <w:rsid w:val="00E81C23"/>
    <w:rsid w:val="00E81F0E"/>
    <w:rsid w:val="00E820B8"/>
    <w:rsid w:val="00E82245"/>
    <w:rsid w:val="00E82332"/>
    <w:rsid w:val="00E82546"/>
    <w:rsid w:val="00E827A2"/>
    <w:rsid w:val="00E82D2D"/>
    <w:rsid w:val="00E83417"/>
    <w:rsid w:val="00E8351C"/>
    <w:rsid w:val="00E83679"/>
    <w:rsid w:val="00E839F9"/>
    <w:rsid w:val="00E83F58"/>
    <w:rsid w:val="00E83FAF"/>
    <w:rsid w:val="00E847BF"/>
    <w:rsid w:val="00E84A42"/>
    <w:rsid w:val="00E84BD8"/>
    <w:rsid w:val="00E84C1B"/>
    <w:rsid w:val="00E84C70"/>
    <w:rsid w:val="00E84F63"/>
    <w:rsid w:val="00E85111"/>
    <w:rsid w:val="00E852CD"/>
    <w:rsid w:val="00E85305"/>
    <w:rsid w:val="00E85512"/>
    <w:rsid w:val="00E85B81"/>
    <w:rsid w:val="00E86132"/>
    <w:rsid w:val="00E8630F"/>
    <w:rsid w:val="00E864A4"/>
    <w:rsid w:val="00E86563"/>
    <w:rsid w:val="00E86968"/>
    <w:rsid w:val="00E86A10"/>
    <w:rsid w:val="00E86B61"/>
    <w:rsid w:val="00E86FD2"/>
    <w:rsid w:val="00E872DE"/>
    <w:rsid w:val="00E8731B"/>
    <w:rsid w:val="00E879AD"/>
    <w:rsid w:val="00E87A97"/>
    <w:rsid w:val="00E87AF1"/>
    <w:rsid w:val="00E87D0B"/>
    <w:rsid w:val="00E87F32"/>
    <w:rsid w:val="00E9005A"/>
    <w:rsid w:val="00E906B2"/>
    <w:rsid w:val="00E913DE"/>
    <w:rsid w:val="00E91601"/>
    <w:rsid w:val="00E91C6D"/>
    <w:rsid w:val="00E91FE9"/>
    <w:rsid w:val="00E9201A"/>
    <w:rsid w:val="00E92040"/>
    <w:rsid w:val="00E926D2"/>
    <w:rsid w:val="00E92850"/>
    <w:rsid w:val="00E92871"/>
    <w:rsid w:val="00E9328B"/>
    <w:rsid w:val="00E9336C"/>
    <w:rsid w:val="00E93398"/>
    <w:rsid w:val="00E936D0"/>
    <w:rsid w:val="00E937A7"/>
    <w:rsid w:val="00E93838"/>
    <w:rsid w:val="00E938A0"/>
    <w:rsid w:val="00E93A4D"/>
    <w:rsid w:val="00E93B17"/>
    <w:rsid w:val="00E93C17"/>
    <w:rsid w:val="00E93C84"/>
    <w:rsid w:val="00E93D96"/>
    <w:rsid w:val="00E94089"/>
    <w:rsid w:val="00E9414D"/>
    <w:rsid w:val="00E94245"/>
    <w:rsid w:val="00E9458E"/>
    <w:rsid w:val="00E94A26"/>
    <w:rsid w:val="00E94F44"/>
    <w:rsid w:val="00E95149"/>
    <w:rsid w:val="00E95326"/>
    <w:rsid w:val="00E95698"/>
    <w:rsid w:val="00E95855"/>
    <w:rsid w:val="00E95B41"/>
    <w:rsid w:val="00E95D00"/>
    <w:rsid w:val="00E95DD3"/>
    <w:rsid w:val="00E95F0D"/>
    <w:rsid w:val="00E9629A"/>
    <w:rsid w:val="00E963B6"/>
    <w:rsid w:val="00E96F99"/>
    <w:rsid w:val="00E97166"/>
    <w:rsid w:val="00E97605"/>
    <w:rsid w:val="00E97917"/>
    <w:rsid w:val="00E97D6E"/>
    <w:rsid w:val="00E97EF3"/>
    <w:rsid w:val="00E97F9F"/>
    <w:rsid w:val="00EA006D"/>
    <w:rsid w:val="00EA00F8"/>
    <w:rsid w:val="00EA0127"/>
    <w:rsid w:val="00EA0416"/>
    <w:rsid w:val="00EA043E"/>
    <w:rsid w:val="00EA0AA4"/>
    <w:rsid w:val="00EA0AD8"/>
    <w:rsid w:val="00EA0B40"/>
    <w:rsid w:val="00EA0FC8"/>
    <w:rsid w:val="00EA127C"/>
    <w:rsid w:val="00EA1428"/>
    <w:rsid w:val="00EA19E7"/>
    <w:rsid w:val="00EA1A33"/>
    <w:rsid w:val="00EA1B8D"/>
    <w:rsid w:val="00EA1D57"/>
    <w:rsid w:val="00EA1DAA"/>
    <w:rsid w:val="00EA1E54"/>
    <w:rsid w:val="00EA20FF"/>
    <w:rsid w:val="00EA2198"/>
    <w:rsid w:val="00EA29B9"/>
    <w:rsid w:val="00EA2B67"/>
    <w:rsid w:val="00EA2C79"/>
    <w:rsid w:val="00EA3524"/>
    <w:rsid w:val="00EA377A"/>
    <w:rsid w:val="00EA3876"/>
    <w:rsid w:val="00EA3CDD"/>
    <w:rsid w:val="00EA4243"/>
    <w:rsid w:val="00EA434B"/>
    <w:rsid w:val="00EA4810"/>
    <w:rsid w:val="00EA4D62"/>
    <w:rsid w:val="00EA4E0F"/>
    <w:rsid w:val="00EA4EC0"/>
    <w:rsid w:val="00EA5897"/>
    <w:rsid w:val="00EA58D8"/>
    <w:rsid w:val="00EA5A09"/>
    <w:rsid w:val="00EA5E69"/>
    <w:rsid w:val="00EA5EEA"/>
    <w:rsid w:val="00EA5F3F"/>
    <w:rsid w:val="00EA63E8"/>
    <w:rsid w:val="00EA685F"/>
    <w:rsid w:val="00EA6E01"/>
    <w:rsid w:val="00EA6F05"/>
    <w:rsid w:val="00EA7121"/>
    <w:rsid w:val="00EA721C"/>
    <w:rsid w:val="00EA734E"/>
    <w:rsid w:val="00EA7381"/>
    <w:rsid w:val="00EA76DA"/>
    <w:rsid w:val="00EA798A"/>
    <w:rsid w:val="00EA7B32"/>
    <w:rsid w:val="00EA7FC5"/>
    <w:rsid w:val="00EB0627"/>
    <w:rsid w:val="00EB098C"/>
    <w:rsid w:val="00EB0D35"/>
    <w:rsid w:val="00EB0EA9"/>
    <w:rsid w:val="00EB0FC0"/>
    <w:rsid w:val="00EB1279"/>
    <w:rsid w:val="00EB13C8"/>
    <w:rsid w:val="00EB2109"/>
    <w:rsid w:val="00EB26AA"/>
    <w:rsid w:val="00EB2E68"/>
    <w:rsid w:val="00EB2F0C"/>
    <w:rsid w:val="00EB3007"/>
    <w:rsid w:val="00EB31F5"/>
    <w:rsid w:val="00EB3261"/>
    <w:rsid w:val="00EB3289"/>
    <w:rsid w:val="00EB3465"/>
    <w:rsid w:val="00EB3A1F"/>
    <w:rsid w:val="00EB3DD1"/>
    <w:rsid w:val="00EB3FD8"/>
    <w:rsid w:val="00EB401B"/>
    <w:rsid w:val="00EB4142"/>
    <w:rsid w:val="00EB4185"/>
    <w:rsid w:val="00EB41EE"/>
    <w:rsid w:val="00EB41F5"/>
    <w:rsid w:val="00EB4361"/>
    <w:rsid w:val="00EB4481"/>
    <w:rsid w:val="00EB5385"/>
    <w:rsid w:val="00EB59FF"/>
    <w:rsid w:val="00EB5A14"/>
    <w:rsid w:val="00EB5CCA"/>
    <w:rsid w:val="00EB5D92"/>
    <w:rsid w:val="00EB5DD8"/>
    <w:rsid w:val="00EB5E57"/>
    <w:rsid w:val="00EB6056"/>
    <w:rsid w:val="00EB62F0"/>
    <w:rsid w:val="00EB64F0"/>
    <w:rsid w:val="00EB679B"/>
    <w:rsid w:val="00EB7176"/>
    <w:rsid w:val="00EB7298"/>
    <w:rsid w:val="00EB7636"/>
    <w:rsid w:val="00EB783F"/>
    <w:rsid w:val="00EB7D82"/>
    <w:rsid w:val="00EB7D9A"/>
    <w:rsid w:val="00EC050A"/>
    <w:rsid w:val="00EC05AD"/>
    <w:rsid w:val="00EC0A0E"/>
    <w:rsid w:val="00EC0A41"/>
    <w:rsid w:val="00EC0F48"/>
    <w:rsid w:val="00EC102B"/>
    <w:rsid w:val="00EC11B9"/>
    <w:rsid w:val="00EC162F"/>
    <w:rsid w:val="00EC16DC"/>
    <w:rsid w:val="00EC193B"/>
    <w:rsid w:val="00EC1B36"/>
    <w:rsid w:val="00EC1D2F"/>
    <w:rsid w:val="00EC1E8A"/>
    <w:rsid w:val="00EC1EF0"/>
    <w:rsid w:val="00EC26CD"/>
    <w:rsid w:val="00EC2BBD"/>
    <w:rsid w:val="00EC32DD"/>
    <w:rsid w:val="00EC344D"/>
    <w:rsid w:val="00EC3A6C"/>
    <w:rsid w:val="00EC3D86"/>
    <w:rsid w:val="00EC3EFC"/>
    <w:rsid w:val="00EC40BD"/>
    <w:rsid w:val="00EC4C9C"/>
    <w:rsid w:val="00EC4DCF"/>
    <w:rsid w:val="00EC513D"/>
    <w:rsid w:val="00EC6252"/>
    <w:rsid w:val="00EC6271"/>
    <w:rsid w:val="00EC6334"/>
    <w:rsid w:val="00EC6AAB"/>
    <w:rsid w:val="00EC6D4E"/>
    <w:rsid w:val="00EC6E23"/>
    <w:rsid w:val="00EC6EA5"/>
    <w:rsid w:val="00EC704C"/>
    <w:rsid w:val="00EC70DB"/>
    <w:rsid w:val="00EC732D"/>
    <w:rsid w:val="00EC7551"/>
    <w:rsid w:val="00EC761A"/>
    <w:rsid w:val="00EC7686"/>
    <w:rsid w:val="00EC7829"/>
    <w:rsid w:val="00EC78BA"/>
    <w:rsid w:val="00EC79C6"/>
    <w:rsid w:val="00EC79E3"/>
    <w:rsid w:val="00EC7A61"/>
    <w:rsid w:val="00EC7DC7"/>
    <w:rsid w:val="00ED035C"/>
    <w:rsid w:val="00ED0377"/>
    <w:rsid w:val="00ED0703"/>
    <w:rsid w:val="00ED071E"/>
    <w:rsid w:val="00ED0C5C"/>
    <w:rsid w:val="00ED0E0B"/>
    <w:rsid w:val="00ED117D"/>
    <w:rsid w:val="00ED1A45"/>
    <w:rsid w:val="00ED1C4C"/>
    <w:rsid w:val="00ED24FE"/>
    <w:rsid w:val="00ED2A3E"/>
    <w:rsid w:val="00ED2BD9"/>
    <w:rsid w:val="00ED2D12"/>
    <w:rsid w:val="00ED2D80"/>
    <w:rsid w:val="00ED2DB5"/>
    <w:rsid w:val="00ED3156"/>
    <w:rsid w:val="00ED3204"/>
    <w:rsid w:val="00ED334A"/>
    <w:rsid w:val="00ED3462"/>
    <w:rsid w:val="00ED409B"/>
    <w:rsid w:val="00ED4707"/>
    <w:rsid w:val="00ED4828"/>
    <w:rsid w:val="00ED49FD"/>
    <w:rsid w:val="00ED4CFD"/>
    <w:rsid w:val="00ED53B7"/>
    <w:rsid w:val="00ED5BC7"/>
    <w:rsid w:val="00ED5CB3"/>
    <w:rsid w:val="00ED6968"/>
    <w:rsid w:val="00ED7028"/>
    <w:rsid w:val="00ED70EE"/>
    <w:rsid w:val="00ED71A3"/>
    <w:rsid w:val="00ED7F13"/>
    <w:rsid w:val="00EE006D"/>
    <w:rsid w:val="00EE022D"/>
    <w:rsid w:val="00EE026A"/>
    <w:rsid w:val="00EE0303"/>
    <w:rsid w:val="00EE0783"/>
    <w:rsid w:val="00EE08E7"/>
    <w:rsid w:val="00EE0944"/>
    <w:rsid w:val="00EE0A1B"/>
    <w:rsid w:val="00EE0B90"/>
    <w:rsid w:val="00EE0E03"/>
    <w:rsid w:val="00EE0F0D"/>
    <w:rsid w:val="00EE1017"/>
    <w:rsid w:val="00EE1421"/>
    <w:rsid w:val="00EE1C63"/>
    <w:rsid w:val="00EE1FF0"/>
    <w:rsid w:val="00EE239A"/>
    <w:rsid w:val="00EE2C21"/>
    <w:rsid w:val="00EE2F38"/>
    <w:rsid w:val="00EE3118"/>
    <w:rsid w:val="00EE3801"/>
    <w:rsid w:val="00EE38A3"/>
    <w:rsid w:val="00EE3DD7"/>
    <w:rsid w:val="00EE3E66"/>
    <w:rsid w:val="00EE4391"/>
    <w:rsid w:val="00EE44D0"/>
    <w:rsid w:val="00EE4B40"/>
    <w:rsid w:val="00EE4D3F"/>
    <w:rsid w:val="00EE4DED"/>
    <w:rsid w:val="00EE5306"/>
    <w:rsid w:val="00EE5458"/>
    <w:rsid w:val="00EE57A7"/>
    <w:rsid w:val="00EE5E07"/>
    <w:rsid w:val="00EE61DD"/>
    <w:rsid w:val="00EE68AB"/>
    <w:rsid w:val="00EE71C2"/>
    <w:rsid w:val="00EE723F"/>
    <w:rsid w:val="00EE7699"/>
    <w:rsid w:val="00EE78D4"/>
    <w:rsid w:val="00EE7917"/>
    <w:rsid w:val="00EE7A7C"/>
    <w:rsid w:val="00EE7CA9"/>
    <w:rsid w:val="00EF02CA"/>
    <w:rsid w:val="00EF03CC"/>
    <w:rsid w:val="00EF1085"/>
    <w:rsid w:val="00EF1364"/>
    <w:rsid w:val="00EF139C"/>
    <w:rsid w:val="00EF1794"/>
    <w:rsid w:val="00EF1821"/>
    <w:rsid w:val="00EF1A24"/>
    <w:rsid w:val="00EF29FA"/>
    <w:rsid w:val="00EF2BFE"/>
    <w:rsid w:val="00EF2C38"/>
    <w:rsid w:val="00EF32DC"/>
    <w:rsid w:val="00EF3CFF"/>
    <w:rsid w:val="00EF3E7D"/>
    <w:rsid w:val="00EF40EF"/>
    <w:rsid w:val="00EF42D9"/>
    <w:rsid w:val="00EF4827"/>
    <w:rsid w:val="00EF48AA"/>
    <w:rsid w:val="00EF4C55"/>
    <w:rsid w:val="00EF53DD"/>
    <w:rsid w:val="00EF54CA"/>
    <w:rsid w:val="00EF5B56"/>
    <w:rsid w:val="00EF5B84"/>
    <w:rsid w:val="00EF5BBC"/>
    <w:rsid w:val="00EF5E75"/>
    <w:rsid w:val="00EF6119"/>
    <w:rsid w:val="00EF630D"/>
    <w:rsid w:val="00EF6B99"/>
    <w:rsid w:val="00EF6F88"/>
    <w:rsid w:val="00EF78D7"/>
    <w:rsid w:val="00EF7C68"/>
    <w:rsid w:val="00EF7ED5"/>
    <w:rsid w:val="00F00015"/>
    <w:rsid w:val="00F005A8"/>
    <w:rsid w:val="00F005C2"/>
    <w:rsid w:val="00F005DD"/>
    <w:rsid w:val="00F00ABB"/>
    <w:rsid w:val="00F00CA7"/>
    <w:rsid w:val="00F01259"/>
    <w:rsid w:val="00F014EE"/>
    <w:rsid w:val="00F015AB"/>
    <w:rsid w:val="00F01794"/>
    <w:rsid w:val="00F0199D"/>
    <w:rsid w:val="00F019CE"/>
    <w:rsid w:val="00F02730"/>
    <w:rsid w:val="00F02E6F"/>
    <w:rsid w:val="00F02E80"/>
    <w:rsid w:val="00F0339E"/>
    <w:rsid w:val="00F03C29"/>
    <w:rsid w:val="00F04476"/>
    <w:rsid w:val="00F04550"/>
    <w:rsid w:val="00F0481C"/>
    <w:rsid w:val="00F048DF"/>
    <w:rsid w:val="00F04B50"/>
    <w:rsid w:val="00F04D59"/>
    <w:rsid w:val="00F0570A"/>
    <w:rsid w:val="00F057AF"/>
    <w:rsid w:val="00F05977"/>
    <w:rsid w:val="00F0665D"/>
    <w:rsid w:val="00F0673B"/>
    <w:rsid w:val="00F06FD6"/>
    <w:rsid w:val="00F07162"/>
    <w:rsid w:val="00F072A4"/>
    <w:rsid w:val="00F072F2"/>
    <w:rsid w:val="00F07B4B"/>
    <w:rsid w:val="00F07C45"/>
    <w:rsid w:val="00F07DC0"/>
    <w:rsid w:val="00F07DE1"/>
    <w:rsid w:val="00F07E70"/>
    <w:rsid w:val="00F07E8F"/>
    <w:rsid w:val="00F10B6B"/>
    <w:rsid w:val="00F111D7"/>
    <w:rsid w:val="00F11517"/>
    <w:rsid w:val="00F11887"/>
    <w:rsid w:val="00F12194"/>
    <w:rsid w:val="00F1255D"/>
    <w:rsid w:val="00F12750"/>
    <w:rsid w:val="00F127CF"/>
    <w:rsid w:val="00F1296C"/>
    <w:rsid w:val="00F12F19"/>
    <w:rsid w:val="00F12FDA"/>
    <w:rsid w:val="00F1391D"/>
    <w:rsid w:val="00F13AF0"/>
    <w:rsid w:val="00F13E81"/>
    <w:rsid w:val="00F13F4A"/>
    <w:rsid w:val="00F141B7"/>
    <w:rsid w:val="00F14449"/>
    <w:rsid w:val="00F147FA"/>
    <w:rsid w:val="00F149A7"/>
    <w:rsid w:val="00F14A0A"/>
    <w:rsid w:val="00F14B59"/>
    <w:rsid w:val="00F14B6B"/>
    <w:rsid w:val="00F14E44"/>
    <w:rsid w:val="00F14EC8"/>
    <w:rsid w:val="00F15171"/>
    <w:rsid w:val="00F15CD0"/>
    <w:rsid w:val="00F15CD5"/>
    <w:rsid w:val="00F15E51"/>
    <w:rsid w:val="00F1636A"/>
    <w:rsid w:val="00F1661A"/>
    <w:rsid w:val="00F16825"/>
    <w:rsid w:val="00F17422"/>
    <w:rsid w:val="00F17435"/>
    <w:rsid w:val="00F1745B"/>
    <w:rsid w:val="00F1752D"/>
    <w:rsid w:val="00F1773A"/>
    <w:rsid w:val="00F177FB"/>
    <w:rsid w:val="00F17A8F"/>
    <w:rsid w:val="00F17D6D"/>
    <w:rsid w:val="00F2011A"/>
    <w:rsid w:val="00F201E3"/>
    <w:rsid w:val="00F201F3"/>
    <w:rsid w:val="00F210E7"/>
    <w:rsid w:val="00F21179"/>
    <w:rsid w:val="00F21949"/>
    <w:rsid w:val="00F21CD4"/>
    <w:rsid w:val="00F2210E"/>
    <w:rsid w:val="00F22176"/>
    <w:rsid w:val="00F22BF3"/>
    <w:rsid w:val="00F2369B"/>
    <w:rsid w:val="00F236CB"/>
    <w:rsid w:val="00F243FE"/>
    <w:rsid w:val="00F246E6"/>
    <w:rsid w:val="00F24970"/>
    <w:rsid w:val="00F24A19"/>
    <w:rsid w:val="00F24A39"/>
    <w:rsid w:val="00F255CF"/>
    <w:rsid w:val="00F25891"/>
    <w:rsid w:val="00F25A22"/>
    <w:rsid w:val="00F2610D"/>
    <w:rsid w:val="00F2639B"/>
    <w:rsid w:val="00F265A1"/>
    <w:rsid w:val="00F26745"/>
    <w:rsid w:val="00F26A23"/>
    <w:rsid w:val="00F26BA0"/>
    <w:rsid w:val="00F26C96"/>
    <w:rsid w:val="00F26D99"/>
    <w:rsid w:val="00F26E67"/>
    <w:rsid w:val="00F275E4"/>
    <w:rsid w:val="00F27716"/>
    <w:rsid w:val="00F279DC"/>
    <w:rsid w:val="00F303A3"/>
    <w:rsid w:val="00F3042A"/>
    <w:rsid w:val="00F3051F"/>
    <w:rsid w:val="00F30C97"/>
    <w:rsid w:val="00F316A8"/>
    <w:rsid w:val="00F3170A"/>
    <w:rsid w:val="00F317A2"/>
    <w:rsid w:val="00F318DC"/>
    <w:rsid w:val="00F31B72"/>
    <w:rsid w:val="00F31D01"/>
    <w:rsid w:val="00F31E4A"/>
    <w:rsid w:val="00F3236A"/>
    <w:rsid w:val="00F324BC"/>
    <w:rsid w:val="00F325B5"/>
    <w:rsid w:val="00F32B80"/>
    <w:rsid w:val="00F32BC1"/>
    <w:rsid w:val="00F32DDB"/>
    <w:rsid w:val="00F32EC3"/>
    <w:rsid w:val="00F33175"/>
    <w:rsid w:val="00F3350D"/>
    <w:rsid w:val="00F3355B"/>
    <w:rsid w:val="00F3381F"/>
    <w:rsid w:val="00F3390C"/>
    <w:rsid w:val="00F33D94"/>
    <w:rsid w:val="00F33F6A"/>
    <w:rsid w:val="00F3421C"/>
    <w:rsid w:val="00F3441F"/>
    <w:rsid w:val="00F34AD8"/>
    <w:rsid w:val="00F34CF1"/>
    <w:rsid w:val="00F352A9"/>
    <w:rsid w:val="00F35319"/>
    <w:rsid w:val="00F35822"/>
    <w:rsid w:val="00F35888"/>
    <w:rsid w:val="00F35A7D"/>
    <w:rsid w:val="00F36960"/>
    <w:rsid w:val="00F369C6"/>
    <w:rsid w:val="00F36EA9"/>
    <w:rsid w:val="00F36EEF"/>
    <w:rsid w:val="00F3721D"/>
    <w:rsid w:val="00F37505"/>
    <w:rsid w:val="00F407BB"/>
    <w:rsid w:val="00F408BA"/>
    <w:rsid w:val="00F40B88"/>
    <w:rsid w:val="00F41281"/>
    <w:rsid w:val="00F41297"/>
    <w:rsid w:val="00F4134E"/>
    <w:rsid w:val="00F41A95"/>
    <w:rsid w:val="00F420EC"/>
    <w:rsid w:val="00F42570"/>
    <w:rsid w:val="00F42C6A"/>
    <w:rsid w:val="00F42DE4"/>
    <w:rsid w:val="00F42EC1"/>
    <w:rsid w:val="00F42F11"/>
    <w:rsid w:val="00F43181"/>
    <w:rsid w:val="00F432A1"/>
    <w:rsid w:val="00F43478"/>
    <w:rsid w:val="00F43529"/>
    <w:rsid w:val="00F435AE"/>
    <w:rsid w:val="00F435C4"/>
    <w:rsid w:val="00F4367F"/>
    <w:rsid w:val="00F436DE"/>
    <w:rsid w:val="00F4373A"/>
    <w:rsid w:val="00F437BE"/>
    <w:rsid w:val="00F43E7B"/>
    <w:rsid w:val="00F441F2"/>
    <w:rsid w:val="00F44437"/>
    <w:rsid w:val="00F444E7"/>
    <w:rsid w:val="00F445E4"/>
    <w:rsid w:val="00F44721"/>
    <w:rsid w:val="00F44821"/>
    <w:rsid w:val="00F44A41"/>
    <w:rsid w:val="00F44B2E"/>
    <w:rsid w:val="00F44BB4"/>
    <w:rsid w:val="00F45025"/>
    <w:rsid w:val="00F4514A"/>
    <w:rsid w:val="00F4518F"/>
    <w:rsid w:val="00F451C9"/>
    <w:rsid w:val="00F454BC"/>
    <w:rsid w:val="00F4550C"/>
    <w:rsid w:val="00F45917"/>
    <w:rsid w:val="00F45AE1"/>
    <w:rsid w:val="00F45D60"/>
    <w:rsid w:val="00F45F5C"/>
    <w:rsid w:val="00F46534"/>
    <w:rsid w:val="00F4664E"/>
    <w:rsid w:val="00F469DD"/>
    <w:rsid w:val="00F46AD6"/>
    <w:rsid w:val="00F47756"/>
    <w:rsid w:val="00F47988"/>
    <w:rsid w:val="00F47A6C"/>
    <w:rsid w:val="00F47CE3"/>
    <w:rsid w:val="00F503BF"/>
    <w:rsid w:val="00F504AF"/>
    <w:rsid w:val="00F504B1"/>
    <w:rsid w:val="00F505CB"/>
    <w:rsid w:val="00F50735"/>
    <w:rsid w:val="00F5085C"/>
    <w:rsid w:val="00F50912"/>
    <w:rsid w:val="00F50DCD"/>
    <w:rsid w:val="00F51311"/>
    <w:rsid w:val="00F513FE"/>
    <w:rsid w:val="00F515D8"/>
    <w:rsid w:val="00F51700"/>
    <w:rsid w:val="00F51C19"/>
    <w:rsid w:val="00F52243"/>
    <w:rsid w:val="00F52429"/>
    <w:rsid w:val="00F527D4"/>
    <w:rsid w:val="00F52853"/>
    <w:rsid w:val="00F529BA"/>
    <w:rsid w:val="00F5313E"/>
    <w:rsid w:val="00F53190"/>
    <w:rsid w:val="00F5389F"/>
    <w:rsid w:val="00F53B1E"/>
    <w:rsid w:val="00F53E38"/>
    <w:rsid w:val="00F53F53"/>
    <w:rsid w:val="00F53FCA"/>
    <w:rsid w:val="00F5403F"/>
    <w:rsid w:val="00F541AC"/>
    <w:rsid w:val="00F543FE"/>
    <w:rsid w:val="00F54558"/>
    <w:rsid w:val="00F54583"/>
    <w:rsid w:val="00F546A9"/>
    <w:rsid w:val="00F54DD8"/>
    <w:rsid w:val="00F54E54"/>
    <w:rsid w:val="00F54EEC"/>
    <w:rsid w:val="00F54FC1"/>
    <w:rsid w:val="00F55087"/>
    <w:rsid w:val="00F555D0"/>
    <w:rsid w:val="00F55616"/>
    <w:rsid w:val="00F5562D"/>
    <w:rsid w:val="00F556EA"/>
    <w:rsid w:val="00F55A56"/>
    <w:rsid w:val="00F55DA9"/>
    <w:rsid w:val="00F55DAD"/>
    <w:rsid w:val="00F55DD9"/>
    <w:rsid w:val="00F56386"/>
    <w:rsid w:val="00F5736F"/>
    <w:rsid w:val="00F57429"/>
    <w:rsid w:val="00F5747C"/>
    <w:rsid w:val="00F574B9"/>
    <w:rsid w:val="00F577F0"/>
    <w:rsid w:val="00F57E78"/>
    <w:rsid w:val="00F60161"/>
    <w:rsid w:val="00F60339"/>
    <w:rsid w:val="00F603C5"/>
    <w:rsid w:val="00F60946"/>
    <w:rsid w:val="00F60C11"/>
    <w:rsid w:val="00F612B5"/>
    <w:rsid w:val="00F61A22"/>
    <w:rsid w:val="00F61CD1"/>
    <w:rsid w:val="00F61CDE"/>
    <w:rsid w:val="00F61E50"/>
    <w:rsid w:val="00F6212B"/>
    <w:rsid w:val="00F621D2"/>
    <w:rsid w:val="00F62217"/>
    <w:rsid w:val="00F62F4D"/>
    <w:rsid w:val="00F63684"/>
    <w:rsid w:val="00F63A44"/>
    <w:rsid w:val="00F63D14"/>
    <w:rsid w:val="00F64029"/>
    <w:rsid w:val="00F641D8"/>
    <w:rsid w:val="00F642D2"/>
    <w:rsid w:val="00F64308"/>
    <w:rsid w:val="00F6433F"/>
    <w:rsid w:val="00F64ABC"/>
    <w:rsid w:val="00F64AD6"/>
    <w:rsid w:val="00F65531"/>
    <w:rsid w:val="00F6594B"/>
    <w:rsid w:val="00F66182"/>
    <w:rsid w:val="00F66806"/>
    <w:rsid w:val="00F6726C"/>
    <w:rsid w:val="00F6759A"/>
    <w:rsid w:val="00F676E0"/>
    <w:rsid w:val="00F677DE"/>
    <w:rsid w:val="00F67A07"/>
    <w:rsid w:val="00F67AE4"/>
    <w:rsid w:val="00F67DD1"/>
    <w:rsid w:val="00F7012C"/>
    <w:rsid w:val="00F7019A"/>
    <w:rsid w:val="00F7026D"/>
    <w:rsid w:val="00F706C1"/>
    <w:rsid w:val="00F70723"/>
    <w:rsid w:val="00F707F1"/>
    <w:rsid w:val="00F70E51"/>
    <w:rsid w:val="00F712CA"/>
    <w:rsid w:val="00F716C9"/>
    <w:rsid w:val="00F718DA"/>
    <w:rsid w:val="00F71B8C"/>
    <w:rsid w:val="00F72339"/>
    <w:rsid w:val="00F72527"/>
    <w:rsid w:val="00F7254B"/>
    <w:rsid w:val="00F7276A"/>
    <w:rsid w:val="00F72864"/>
    <w:rsid w:val="00F72C7B"/>
    <w:rsid w:val="00F72CC4"/>
    <w:rsid w:val="00F732B1"/>
    <w:rsid w:val="00F73841"/>
    <w:rsid w:val="00F73A63"/>
    <w:rsid w:val="00F73D35"/>
    <w:rsid w:val="00F74234"/>
    <w:rsid w:val="00F743B8"/>
    <w:rsid w:val="00F7465B"/>
    <w:rsid w:val="00F74952"/>
    <w:rsid w:val="00F74B37"/>
    <w:rsid w:val="00F74B75"/>
    <w:rsid w:val="00F75465"/>
    <w:rsid w:val="00F75543"/>
    <w:rsid w:val="00F7575E"/>
    <w:rsid w:val="00F757BC"/>
    <w:rsid w:val="00F75BF4"/>
    <w:rsid w:val="00F75EDD"/>
    <w:rsid w:val="00F76671"/>
    <w:rsid w:val="00F76AEC"/>
    <w:rsid w:val="00F76F04"/>
    <w:rsid w:val="00F771F1"/>
    <w:rsid w:val="00F775B6"/>
    <w:rsid w:val="00F77D45"/>
    <w:rsid w:val="00F77F89"/>
    <w:rsid w:val="00F80648"/>
    <w:rsid w:val="00F80BAB"/>
    <w:rsid w:val="00F80D2F"/>
    <w:rsid w:val="00F80E4A"/>
    <w:rsid w:val="00F80E50"/>
    <w:rsid w:val="00F80EB7"/>
    <w:rsid w:val="00F812E0"/>
    <w:rsid w:val="00F81301"/>
    <w:rsid w:val="00F81A0E"/>
    <w:rsid w:val="00F81D3E"/>
    <w:rsid w:val="00F82310"/>
    <w:rsid w:val="00F825C2"/>
    <w:rsid w:val="00F83476"/>
    <w:rsid w:val="00F83575"/>
    <w:rsid w:val="00F84189"/>
    <w:rsid w:val="00F8444B"/>
    <w:rsid w:val="00F8456F"/>
    <w:rsid w:val="00F8469D"/>
    <w:rsid w:val="00F849AE"/>
    <w:rsid w:val="00F84A9A"/>
    <w:rsid w:val="00F84E85"/>
    <w:rsid w:val="00F84FDE"/>
    <w:rsid w:val="00F850EB"/>
    <w:rsid w:val="00F85502"/>
    <w:rsid w:val="00F85907"/>
    <w:rsid w:val="00F8596D"/>
    <w:rsid w:val="00F85DCD"/>
    <w:rsid w:val="00F864C4"/>
    <w:rsid w:val="00F86795"/>
    <w:rsid w:val="00F86B1D"/>
    <w:rsid w:val="00F86B90"/>
    <w:rsid w:val="00F86EAA"/>
    <w:rsid w:val="00F86F49"/>
    <w:rsid w:val="00F87010"/>
    <w:rsid w:val="00F871E6"/>
    <w:rsid w:val="00F87BD5"/>
    <w:rsid w:val="00F902DD"/>
    <w:rsid w:val="00F90330"/>
    <w:rsid w:val="00F9049D"/>
    <w:rsid w:val="00F904E4"/>
    <w:rsid w:val="00F90676"/>
    <w:rsid w:val="00F90D96"/>
    <w:rsid w:val="00F91177"/>
    <w:rsid w:val="00F91233"/>
    <w:rsid w:val="00F91D5B"/>
    <w:rsid w:val="00F9203F"/>
    <w:rsid w:val="00F920BF"/>
    <w:rsid w:val="00F92200"/>
    <w:rsid w:val="00F92B72"/>
    <w:rsid w:val="00F92C03"/>
    <w:rsid w:val="00F92DB1"/>
    <w:rsid w:val="00F92F5E"/>
    <w:rsid w:val="00F934FE"/>
    <w:rsid w:val="00F937B9"/>
    <w:rsid w:val="00F939CA"/>
    <w:rsid w:val="00F93ABD"/>
    <w:rsid w:val="00F93F29"/>
    <w:rsid w:val="00F9440D"/>
    <w:rsid w:val="00F94503"/>
    <w:rsid w:val="00F94560"/>
    <w:rsid w:val="00F94810"/>
    <w:rsid w:val="00F94D70"/>
    <w:rsid w:val="00F95384"/>
    <w:rsid w:val="00F953AD"/>
    <w:rsid w:val="00F9543A"/>
    <w:rsid w:val="00F9562C"/>
    <w:rsid w:val="00F95705"/>
    <w:rsid w:val="00F95DE1"/>
    <w:rsid w:val="00F962FB"/>
    <w:rsid w:val="00F967FF"/>
    <w:rsid w:val="00F96821"/>
    <w:rsid w:val="00F96D07"/>
    <w:rsid w:val="00F96FD0"/>
    <w:rsid w:val="00F971B2"/>
    <w:rsid w:val="00F972B6"/>
    <w:rsid w:val="00F97487"/>
    <w:rsid w:val="00F974A6"/>
    <w:rsid w:val="00F97E7D"/>
    <w:rsid w:val="00F97EA7"/>
    <w:rsid w:val="00FA03F9"/>
    <w:rsid w:val="00FA06F4"/>
    <w:rsid w:val="00FA0702"/>
    <w:rsid w:val="00FA0C8F"/>
    <w:rsid w:val="00FA0E5E"/>
    <w:rsid w:val="00FA1345"/>
    <w:rsid w:val="00FA1545"/>
    <w:rsid w:val="00FA1A36"/>
    <w:rsid w:val="00FA1A6E"/>
    <w:rsid w:val="00FA1F3E"/>
    <w:rsid w:val="00FA1F63"/>
    <w:rsid w:val="00FA245A"/>
    <w:rsid w:val="00FA2464"/>
    <w:rsid w:val="00FA2C70"/>
    <w:rsid w:val="00FA2D1D"/>
    <w:rsid w:val="00FA2DE3"/>
    <w:rsid w:val="00FA2FAF"/>
    <w:rsid w:val="00FA30CE"/>
    <w:rsid w:val="00FA31A9"/>
    <w:rsid w:val="00FA332A"/>
    <w:rsid w:val="00FA3B6C"/>
    <w:rsid w:val="00FA3ED6"/>
    <w:rsid w:val="00FA3F52"/>
    <w:rsid w:val="00FA4559"/>
    <w:rsid w:val="00FA46FB"/>
    <w:rsid w:val="00FA4B9C"/>
    <w:rsid w:val="00FA511D"/>
    <w:rsid w:val="00FA5371"/>
    <w:rsid w:val="00FA5E5C"/>
    <w:rsid w:val="00FA5EC3"/>
    <w:rsid w:val="00FA5F27"/>
    <w:rsid w:val="00FA6034"/>
    <w:rsid w:val="00FA6433"/>
    <w:rsid w:val="00FA662F"/>
    <w:rsid w:val="00FA6847"/>
    <w:rsid w:val="00FA6B61"/>
    <w:rsid w:val="00FA6DF0"/>
    <w:rsid w:val="00FA7193"/>
    <w:rsid w:val="00FA7205"/>
    <w:rsid w:val="00FA77A0"/>
    <w:rsid w:val="00FA7C16"/>
    <w:rsid w:val="00FB0005"/>
    <w:rsid w:val="00FB0314"/>
    <w:rsid w:val="00FB036A"/>
    <w:rsid w:val="00FB0514"/>
    <w:rsid w:val="00FB0550"/>
    <w:rsid w:val="00FB0853"/>
    <w:rsid w:val="00FB0D5A"/>
    <w:rsid w:val="00FB0E8E"/>
    <w:rsid w:val="00FB0F82"/>
    <w:rsid w:val="00FB1111"/>
    <w:rsid w:val="00FB12B8"/>
    <w:rsid w:val="00FB14A2"/>
    <w:rsid w:val="00FB157E"/>
    <w:rsid w:val="00FB19A7"/>
    <w:rsid w:val="00FB1F00"/>
    <w:rsid w:val="00FB219F"/>
    <w:rsid w:val="00FB2407"/>
    <w:rsid w:val="00FB29CB"/>
    <w:rsid w:val="00FB2A77"/>
    <w:rsid w:val="00FB3655"/>
    <w:rsid w:val="00FB416E"/>
    <w:rsid w:val="00FB438C"/>
    <w:rsid w:val="00FB43DC"/>
    <w:rsid w:val="00FB44EE"/>
    <w:rsid w:val="00FB4C07"/>
    <w:rsid w:val="00FB4C58"/>
    <w:rsid w:val="00FB5553"/>
    <w:rsid w:val="00FB5849"/>
    <w:rsid w:val="00FB5A77"/>
    <w:rsid w:val="00FB5FC7"/>
    <w:rsid w:val="00FB64C6"/>
    <w:rsid w:val="00FB6692"/>
    <w:rsid w:val="00FB67CB"/>
    <w:rsid w:val="00FB68E5"/>
    <w:rsid w:val="00FB6B11"/>
    <w:rsid w:val="00FB6BFE"/>
    <w:rsid w:val="00FB6CD6"/>
    <w:rsid w:val="00FB6D5F"/>
    <w:rsid w:val="00FB6DD7"/>
    <w:rsid w:val="00FB73E9"/>
    <w:rsid w:val="00FB73FA"/>
    <w:rsid w:val="00FB74AF"/>
    <w:rsid w:val="00FB7840"/>
    <w:rsid w:val="00FB7CD0"/>
    <w:rsid w:val="00FB7CF5"/>
    <w:rsid w:val="00FB7F28"/>
    <w:rsid w:val="00FC0313"/>
    <w:rsid w:val="00FC037D"/>
    <w:rsid w:val="00FC03BF"/>
    <w:rsid w:val="00FC0440"/>
    <w:rsid w:val="00FC04A0"/>
    <w:rsid w:val="00FC06B2"/>
    <w:rsid w:val="00FC07B6"/>
    <w:rsid w:val="00FC0BC1"/>
    <w:rsid w:val="00FC0C59"/>
    <w:rsid w:val="00FC0CE2"/>
    <w:rsid w:val="00FC105F"/>
    <w:rsid w:val="00FC11A8"/>
    <w:rsid w:val="00FC1566"/>
    <w:rsid w:val="00FC17A0"/>
    <w:rsid w:val="00FC185A"/>
    <w:rsid w:val="00FC1A6D"/>
    <w:rsid w:val="00FC1F52"/>
    <w:rsid w:val="00FC2002"/>
    <w:rsid w:val="00FC2409"/>
    <w:rsid w:val="00FC2747"/>
    <w:rsid w:val="00FC2787"/>
    <w:rsid w:val="00FC29D0"/>
    <w:rsid w:val="00FC2B60"/>
    <w:rsid w:val="00FC2F89"/>
    <w:rsid w:val="00FC3027"/>
    <w:rsid w:val="00FC306E"/>
    <w:rsid w:val="00FC338F"/>
    <w:rsid w:val="00FC349D"/>
    <w:rsid w:val="00FC40A4"/>
    <w:rsid w:val="00FC40FC"/>
    <w:rsid w:val="00FC413A"/>
    <w:rsid w:val="00FC41C9"/>
    <w:rsid w:val="00FC42AB"/>
    <w:rsid w:val="00FC4337"/>
    <w:rsid w:val="00FC4368"/>
    <w:rsid w:val="00FC4435"/>
    <w:rsid w:val="00FC45E2"/>
    <w:rsid w:val="00FC4CED"/>
    <w:rsid w:val="00FC4E9B"/>
    <w:rsid w:val="00FC5047"/>
    <w:rsid w:val="00FC5517"/>
    <w:rsid w:val="00FC560B"/>
    <w:rsid w:val="00FC570B"/>
    <w:rsid w:val="00FC5984"/>
    <w:rsid w:val="00FC5B7A"/>
    <w:rsid w:val="00FC5D2B"/>
    <w:rsid w:val="00FC5D5E"/>
    <w:rsid w:val="00FC629C"/>
    <w:rsid w:val="00FC6315"/>
    <w:rsid w:val="00FC653E"/>
    <w:rsid w:val="00FC6FAB"/>
    <w:rsid w:val="00FC701D"/>
    <w:rsid w:val="00FC781E"/>
    <w:rsid w:val="00FC7A94"/>
    <w:rsid w:val="00FC7DDD"/>
    <w:rsid w:val="00FD038C"/>
    <w:rsid w:val="00FD052E"/>
    <w:rsid w:val="00FD0733"/>
    <w:rsid w:val="00FD0A37"/>
    <w:rsid w:val="00FD0A43"/>
    <w:rsid w:val="00FD0CE7"/>
    <w:rsid w:val="00FD0E11"/>
    <w:rsid w:val="00FD0EB0"/>
    <w:rsid w:val="00FD1102"/>
    <w:rsid w:val="00FD125E"/>
    <w:rsid w:val="00FD138C"/>
    <w:rsid w:val="00FD15AA"/>
    <w:rsid w:val="00FD1888"/>
    <w:rsid w:val="00FD1892"/>
    <w:rsid w:val="00FD1920"/>
    <w:rsid w:val="00FD1A66"/>
    <w:rsid w:val="00FD1B55"/>
    <w:rsid w:val="00FD1BD0"/>
    <w:rsid w:val="00FD224F"/>
    <w:rsid w:val="00FD22B2"/>
    <w:rsid w:val="00FD22E8"/>
    <w:rsid w:val="00FD24E3"/>
    <w:rsid w:val="00FD24F0"/>
    <w:rsid w:val="00FD2561"/>
    <w:rsid w:val="00FD28EF"/>
    <w:rsid w:val="00FD30BB"/>
    <w:rsid w:val="00FD31FB"/>
    <w:rsid w:val="00FD3220"/>
    <w:rsid w:val="00FD32DA"/>
    <w:rsid w:val="00FD3676"/>
    <w:rsid w:val="00FD379D"/>
    <w:rsid w:val="00FD397E"/>
    <w:rsid w:val="00FD3E1E"/>
    <w:rsid w:val="00FD3FB7"/>
    <w:rsid w:val="00FD4110"/>
    <w:rsid w:val="00FD4E62"/>
    <w:rsid w:val="00FD4F24"/>
    <w:rsid w:val="00FD51A5"/>
    <w:rsid w:val="00FD5489"/>
    <w:rsid w:val="00FD5D3E"/>
    <w:rsid w:val="00FD5F25"/>
    <w:rsid w:val="00FD64E7"/>
    <w:rsid w:val="00FD6C6E"/>
    <w:rsid w:val="00FD6DFE"/>
    <w:rsid w:val="00FD6F1F"/>
    <w:rsid w:val="00FD7091"/>
    <w:rsid w:val="00FD72E7"/>
    <w:rsid w:val="00FD7552"/>
    <w:rsid w:val="00FD7609"/>
    <w:rsid w:val="00FD76BB"/>
    <w:rsid w:val="00FD7DDA"/>
    <w:rsid w:val="00FE0825"/>
    <w:rsid w:val="00FE0CCF"/>
    <w:rsid w:val="00FE0E73"/>
    <w:rsid w:val="00FE11C3"/>
    <w:rsid w:val="00FE1478"/>
    <w:rsid w:val="00FE15E2"/>
    <w:rsid w:val="00FE1661"/>
    <w:rsid w:val="00FE16C6"/>
    <w:rsid w:val="00FE1936"/>
    <w:rsid w:val="00FE1C3C"/>
    <w:rsid w:val="00FE20B2"/>
    <w:rsid w:val="00FE22FB"/>
    <w:rsid w:val="00FE296E"/>
    <w:rsid w:val="00FE314D"/>
    <w:rsid w:val="00FE32C1"/>
    <w:rsid w:val="00FE3853"/>
    <w:rsid w:val="00FE3A37"/>
    <w:rsid w:val="00FE3BFB"/>
    <w:rsid w:val="00FE3C96"/>
    <w:rsid w:val="00FE3D6A"/>
    <w:rsid w:val="00FE3E70"/>
    <w:rsid w:val="00FE3FE1"/>
    <w:rsid w:val="00FE4002"/>
    <w:rsid w:val="00FE4075"/>
    <w:rsid w:val="00FE407A"/>
    <w:rsid w:val="00FE40F4"/>
    <w:rsid w:val="00FE41AF"/>
    <w:rsid w:val="00FE46AE"/>
    <w:rsid w:val="00FE506B"/>
    <w:rsid w:val="00FE52DD"/>
    <w:rsid w:val="00FE54B4"/>
    <w:rsid w:val="00FE5CA7"/>
    <w:rsid w:val="00FE6402"/>
    <w:rsid w:val="00FE6B21"/>
    <w:rsid w:val="00FE6B2C"/>
    <w:rsid w:val="00FE7435"/>
    <w:rsid w:val="00FE745B"/>
    <w:rsid w:val="00FE7E39"/>
    <w:rsid w:val="00FE7E75"/>
    <w:rsid w:val="00FF01C2"/>
    <w:rsid w:val="00FF0458"/>
    <w:rsid w:val="00FF0508"/>
    <w:rsid w:val="00FF05FE"/>
    <w:rsid w:val="00FF0E01"/>
    <w:rsid w:val="00FF0E52"/>
    <w:rsid w:val="00FF1592"/>
    <w:rsid w:val="00FF1947"/>
    <w:rsid w:val="00FF1B49"/>
    <w:rsid w:val="00FF1C78"/>
    <w:rsid w:val="00FF1D28"/>
    <w:rsid w:val="00FF1E67"/>
    <w:rsid w:val="00FF1F94"/>
    <w:rsid w:val="00FF2280"/>
    <w:rsid w:val="00FF22F1"/>
    <w:rsid w:val="00FF2641"/>
    <w:rsid w:val="00FF282C"/>
    <w:rsid w:val="00FF2FF1"/>
    <w:rsid w:val="00FF325B"/>
    <w:rsid w:val="00FF3913"/>
    <w:rsid w:val="00FF3ECB"/>
    <w:rsid w:val="00FF3F39"/>
    <w:rsid w:val="00FF4038"/>
    <w:rsid w:val="00FF5ADB"/>
    <w:rsid w:val="00FF5B54"/>
    <w:rsid w:val="00FF6054"/>
    <w:rsid w:val="00FF605C"/>
    <w:rsid w:val="00FF606A"/>
    <w:rsid w:val="00FF65E1"/>
    <w:rsid w:val="00FF6911"/>
    <w:rsid w:val="00FF71FA"/>
    <w:rsid w:val="00FF75DF"/>
    <w:rsid w:val="00FF7996"/>
    <w:rsid w:val="00FF7BA0"/>
    <w:rsid w:val="01106286"/>
    <w:rsid w:val="0113A072"/>
    <w:rsid w:val="01593287"/>
    <w:rsid w:val="01711A37"/>
    <w:rsid w:val="017243EB"/>
    <w:rsid w:val="01ACEAE1"/>
    <w:rsid w:val="01D616CD"/>
    <w:rsid w:val="01EA8190"/>
    <w:rsid w:val="01EE8C18"/>
    <w:rsid w:val="02372F0C"/>
    <w:rsid w:val="0246BBED"/>
    <w:rsid w:val="0288BE44"/>
    <w:rsid w:val="02B73D48"/>
    <w:rsid w:val="02D6CB25"/>
    <w:rsid w:val="02D91415"/>
    <w:rsid w:val="02F88824"/>
    <w:rsid w:val="032D3CB7"/>
    <w:rsid w:val="036F2B7C"/>
    <w:rsid w:val="037E95F2"/>
    <w:rsid w:val="038D0AFD"/>
    <w:rsid w:val="03AE7227"/>
    <w:rsid w:val="03B2C642"/>
    <w:rsid w:val="03BCE9BE"/>
    <w:rsid w:val="03E0D51E"/>
    <w:rsid w:val="0486146D"/>
    <w:rsid w:val="04A4FB12"/>
    <w:rsid w:val="04C5EF40"/>
    <w:rsid w:val="04CBFE5C"/>
    <w:rsid w:val="04DB51B9"/>
    <w:rsid w:val="04FD10DC"/>
    <w:rsid w:val="050CBEE9"/>
    <w:rsid w:val="051FF942"/>
    <w:rsid w:val="0522A2A6"/>
    <w:rsid w:val="05330E6B"/>
    <w:rsid w:val="055A0569"/>
    <w:rsid w:val="05763ECC"/>
    <w:rsid w:val="05792D94"/>
    <w:rsid w:val="05891D28"/>
    <w:rsid w:val="0593863D"/>
    <w:rsid w:val="05A98629"/>
    <w:rsid w:val="05AF870B"/>
    <w:rsid w:val="05E3EAF8"/>
    <w:rsid w:val="05F2199D"/>
    <w:rsid w:val="05FFC685"/>
    <w:rsid w:val="0604CED0"/>
    <w:rsid w:val="063388E2"/>
    <w:rsid w:val="06471F52"/>
    <w:rsid w:val="0649182E"/>
    <w:rsid w:val="0664E36B"/>
    <w:rsid w:val="06819993"/>
    <w:rsid w:val="06B224B9"/>
    <w:rsid w:val="06B3B20E"/>
    <w:rsid w:val="06D7F238"/>
    <w:rsid w:val="06DB96BA"/>
    <w:rsid w:val="06FB3570"/>
    <w:rsid w:val="06FF38F9"/>
    <w:rsid w:val="071E1FE4"/>
    <w:rsid w:val="071FAA79"/>
    <w:rsid w:val="074960B5"/>
    <w:rsid w:val="07885DEC"/>
    <w:rsid w:val="07BCB972"/>
    <w:rsid w:val="07EFD62C"/>
    <w:rsid w:val="07F1B764"/>
    <w:rsid w:val="07FBCC86"/>
    <w:rsid w:val="07FBE82D"/>
    <w:rsid w:val="07FCBB0B"/>
    <w:rsid w:val="08473FDA"/>
    <w:rsid w:val="08635847"/>
    <w:rsid w:val="08829F80"/>
    <w:rsid w:val="08DE8D14"/>
    <w:rsid w:val="091E8347"/>
    <w:rsid w:val="09320D5C"/>
    <w:rsid w:val="09536C2B"/>
    <w:rsid w:val="0966E6A5"/>
    <w:rsid w:val="096F2219"/>
    <w:rsid w:val="09768F61"/>
    <w:rsid w:val="099839E4"/>
    <w:rsid w:val="09BAA00E"/>
    <w:rsid w:val="09DC9DA3"/>
    <w:rsid w:val="09E43ED3"/>
    <w:rsid w:val="0A2AFFF3"/>
    <w:rsid w:val="0A2BEF74"/>
    <w:rsid w:val="0A88B33D"/>
    <w:rsid w:val="0AA7EA82"/>
    <w:rsid w:val="0AB84B30"/>
    <w:rsid w:val="0ABCA137"/>
    <w:rsid w:val="0AC9657F"/>
    <w:rsid w:val="0AEED45F"/>
    <w:rsid w:val="0B211E02"/>
    <w:rsid w:val="0B57CE68"/>
    <w:rsid w:val="0B65E008"/>
    <w:rsid w:val="0B6D79FD"/>
    <w:rsid w:val="0B8CA66B"/>
    <w:rsid w:val="0BC51A09"/>
    <w:rsid w:val="0BE4C01E"/>
    <w:rsid w:val="0BF4F951"/>
    <w:rsid w:val="0C06BBB3"/>
    <w:rsid w:val="0C4AC39E"/>
    <w:rsid w:val="0C637A6E"/>
    <w:rsid w:val="0C8E3EB3"/>
    <w:rsid w:val="0CD2FA9A"/>
    <w:rsid w:val="0CFA3F8A"/>
    <w:rsid w:val="0CFD76D1"/>
    <w:rsid w:val="0D02B37A"/>
    <w:rsid w:val="0D162FFA"/>
    <w:rsid w:val="0D4ACC6D"/>
    <w:rsid w:val="0D5DEAF8"/>
    <w:rsid w:val="0D69BE80"/>
    <w:rsid w:val="0DAC37CD"/>
    <w:rsid w:val="0DAD2CA9"/>
    <w:rsid w:val="0DB90777"/>
    <w:rsid w:val="0E0CCED7"/>
    <w:rsid w:val="0E3D27F9"/>
    <w:rsid w:val="0E72B6E4"/>
    <w:rsid w:val="0E789898"/>
    <w:rsid w:val="0EBE46F9"/>
    <w:rsid w:val="0F0562AE"/>
    <w:rsid w:val="0F572399"/>
    <w:rsid w:val="0FBEB61F"/>
    <w:rsid w:val="0FF52DED"/>
    <w:rsid w:val="100ABB2E"/>
    <w:rsid w:val="102EE7E8"/>
    <w:rsid w:val="1031D81A"/>
    <w:rsid w:val="1040CCD2"/>
    <w:rsid w:val="1050EEA8"/>
    <w:rsid w:val="105F4BA9"/>
    <w:rsid w:val="10620C6F"/>
    <w:rsid w:val="10CC6FA1"/>
    <w:rsid w:val="10D10A39"/>
    <w:rsid w:val="10E92A1E"/>
    <w:rsid w:val="1105F67B"/>
    <w:rsid w:val="11077E57"/>
    <w:rsid w:val="113EF117"/>
    <w:rsid w:val="116C1322"/>
    <w:rsid w:val="11807A7B"/>
    <w:rsid w:val="119987AB"/>
    <w:rsid w:val="11C9778C"/>
    <w:rsid w:val="12643C9B"/>
    <w:rsid w:val="1269B542"/>
    <w:rsid w:val="12D6026D"/>
    <w:rsid w:val="1307DA7C"/>
    <w:rsid w:val="130F85C5"/>
    <w:rsid w:val="13341C71"/>
    <w:rsid w:val="13839EEC"/>
    <w:rsid w:val="13B36DD5"/>
    <w:rsid w:val="13DE13A1"/>
    <w:rsid w:val="13DF886C"/>
    <w:rsid w:val="13E54D1C"/>
    <w:rsid w:val="1404E598"/>
    <w:rsid w:val="14125846"/>
    <w:rsid w:val="145BF251"/>
    <w:rsid w:val="1484C1F6"/>
    <w:rsid w:val="148F9A74"/>
    <w:rsid w:val="14AA26C4"/>
    <w:rsid w:val="14BE51FE"/>
    <w:rsid w:val="14D08ECC"/>
    <w:rsid w:val="14DC18E8"/>
    <w:rsid w:val="14FB313F"/>
    <w:rsid w:val="150E7334"/>
    <w:rsid w:val="1527F672"/>
    <w:rsid w:val="154273F4"/>
    <w:rsid w:val="1586E860"/>
    <w:rsid w:val="159813B0"/>
    <w:rsid w:val="15BFDCAE"/>
    <w:rsid w:val="15D00F74"/>
    <w:rsid w:val="15D71C05"/>
    <w:rsid w:val="15DE80F8"/>
    <w:rsid w:val="162AE25F"/>
    <w:rsid w:val="16535A2A"/>
    <w:rsid w:val="165901DA"/>
    <w:rsid w:val="168A6C95"/>
    <w:rsid w:val="16B8DE17"/>
    <w:rsid w:val="16B93629"/>
    <w:rsid w:val="1728C793"/>
    <w:rsid w:val="17299886"/>
    <w:rsid w:val="1734A2CD"/>
    <w:rsid w:val="17CA03EC"/>
    <w:rsid w:val="17E082A8"/>
    <w:rsid w:val="183C3159"/>
    <w:rsid w:val="187081DA"/>
    <w:rsid w:val="189965C5"/>
    <w:rsid w:val="18A1FDDF"/>
    <w:rsid w:val="18B46F2B"/>
    <w:rsid w:val="18BC5830"/>
    <w:rsid w:val="18FC3942"/>
    <w:rsid w:val="1928EC48"/>
    <w:rsid w:val="19469397"/>
    <w:rsid w:val="196EA2BE"/>
    <w:rsid w:val="19930063"/>
    <w:rsid w:val="19EDB91C"/>
    <w:rsid w:val="1A35F242"/>
    <w:rsid w:val="1A828D70"/>
    <w:rsid w:val="1AA43BEA"/>
    <w:rsid w:val="1AD9F272"/>
    <w:rsid w:val="1B598A5A"/>
    <w:rsid w:val="1B69E1EA"/>
    <w:rsid w:val="1B72D607"/>
    <w:rsid w:val="1BC5B305"/>
    <w:rsid w:val="1BFAEFAF"/>
    <w:rsid w:val="1C095FF8"/>
    <w:rsid w:val="1C319107"/>
    <w:rsid w:val="1C37AE31"/>
    <w:rsid w:val="1C638F34"/>
    <w:rsid w:val="1C648CAA"/>
    <w:rsid w:val="1C69E59F"/>
    <w:rsid w:val="1C715E14"/>
    <w:rsid w:val="1CA01C8D"/>
    <w:rsid w:val="1CE81BFD"/>
    <w:rsid w:val="1D0E17DA"/>
    <w:rsid w:val="1D22A23A"/>
    <w:rsid w:val="1D2C52BD"/>
    <w:rsid w:val="1D317135"/>
    <w:rsid w:val="1D7D6567"/>
    <w:rsid w:val="1D927913"/>
    <w:rsid w:val="1DA877E1"/>
    <w:rsid w:val="1DB13BBE"/>
    <w:rsid w:val="1DBA7240"/>
    <w:rsid w:val="1DDDF657"/>
    <w:rsid w:val="1DE30799"/>
    <w:rsid w:val="1E4C344D"/>
    <w:rsid w:val="1E597A92"/>
    <w:rsid w:val="1E8C48DB"/>
    <w:rsid w:val="1E9A822E"/>
    <w:rsid w:val="1EC5EC31"/>
    <w:rsid w:val="1ED9FE60"/>
    <w:rsid w:val="1EDA0B34"/>
    <w:rsid w:val="1EDFDB04"/>
    <w:rsid w:val="1F4FAD1C"/>
    <w:rsid w:val="1F78E33A"/>
    <w:rsid w:val="1F79549C"/>
    <w:rsid w:val="1F847A78"/>
    <w:rsid w:val="1F9A1806"/>
    <w:rsid w:val="1FBB2C79"/>
    <w:rsid w:val="2052A9D3"/>
    <w:rsid w:val="205624B0"/>
    <w:rsid w:val="20631F27"/>
    <w:rsid w:val="20649000"/>
    <w:rsid w:val="209EE022"/>
    <w:rsid w:val="2119F081"/>
    <w:rsid w:val="2136BF6B"/>
    <w:rsid w:val="21413206"/>
    <w:rsid w:val="214A6817"/>
    <w:rsid w:val="214F2D35"/>
    <w:rsid w:val="21BE194A"/>
    <w:rsid w:val="21CFE2FC"/>
    <w:rsid w:val="22020DF5"/>
    <w:rsid w:val="22064F9A"/>
    <w:rsid w:val="2208FDE6"/>
    <w:rsid w:val="22116484"/>
    <w:rsid w:val="223A428B"/>
    <w:rsid w:val="22873C3A"/>
    <w:rsid w:val="229A7911"/>
    <w:rsid w:val="22B17E01"/>
    <w:rsid w:val="22B80B3D"/>
    <w:rsid w:val="22BC0208"/>
    <w:rsid w:val="23043059"/>
    <w:rsid w:val="2361DC14"/>
    <w:rsid w:val="23971C9A"/>
    <w:rsid w:val="239BF6FD"/>
    <w:rsid w:val="23F0EF26"/>
    <w:rsid w:val="23FF5FC6"/>
    <w:rsid w:val="24053520"/>
    <w:rsid w:val="244456EF"/>
    <w:rsid w:val="24EE7B09"/>
    <w:rsid w:val="251ADAFE"/>
    <w:rsid w:val="25487D57"/>
    <w:rsid w:val="25AD1AFC"/>
    <w:rsid w:val="25C689A0"/>
    <w:rsid w:val="25CFC5E7"/>
    <w:rsid w:val="25E4B380"/>
    <w:rsid w:val="25FAFD78"/>
    <w:rsid w:val="261C4EC5"/>
    <w:rsid w:val="26205E2A"/>
    <w:rsid w:val="2636C269"/>
    <w:rsid w:val="2656AB2F"/>
    <w:rsid w:val="267704ED"/>
    <w:rsid w:val="2694A94B"/>
    <w:rsid w:val="269E2EAD"/>
    <w:rsid w:val="26A4E056"/>
    <w:rsid w:val="26FF0ADB"/>
    <w:rsid w:val="26FF2CFB"/>
    <w:rsid w:val="271BAC59"/>
    <w:rsid w:val="276034C2"/>
    <w:rsid w:val="2776B329"/>
    <w:rsid w:val="277D3480"/>
    <w:rsid w:val="279776D2"/>
    <w:rsid w:val="27ABF85E"/>
    <w:rsid w:val="27C8FC03"/>
    <w:rsid w:val="27E8D44B"/>
    <w:rsid w:val="27EBDD7A"/>
    <w:rsid w:val="27ECE9AD"/>
    <w:rsid w:val="27F6F1E2"/>
    <w:rsid w:val="28054931"/>
    <w:rsid w:val="280EBD91"/>
    <w:rsid w:val="283ABE35"/>
    <w:rsid w:val="28497A6F"/>
    <w:rsid w:val="287F6D12"/>
    <w:rsid w:val="28979306"/>
    <w:rsid w:val="289F3FD9"/>
    <w:rsid w:val="28A02C49"/>
    <w:rsid w:val="28CEE0AA"/>
    <w:rsid w:val="28D960CD"/>
    <w:rsid w:val="28E1E72B"/>
    <w:rsid w:val="2902D698"/>
    <w:rsid w:val="290D5255"/>
    <w:rsid w:val="290E974E"/>
    <w:rsid w:val="2943020C"/>
    <w:rsid w:val="2978EDD5"/>
    <w:rsid w:val="29841B7C"/>
    <w:rsid w:val="2986E19E"/>
    <w:rsid w:val="29E8A42B"/>
    <w:rsid w:val="29FED6CC"/>
    <w:rsid w:val="2A008356"/>
    <w:rsid w:val="2A1355D5"/>
    <w:rsid w:val="2A390A90"/>
    <w:rsid w:val="2A440E34"/>
    <w:rsid w:val="2A525CBB"/>
    <w:rsid w:val="2A5E26B1"/>
    <w:rsid w:val="2A5FE17A"/>
    <w:rsid w:val="2A98E454"/>
    <w:rsid w:val="2AA4BDC1"/>
    <w:rsid w:val="2AD2A298"/>
    <w:rsid w:val="2B139609"/>
    <w:rsid w:val="2B24636C"/>
    <w:rsid w:val="2B293402"/>
    <w:rsid w:val="2B2A5AC1"/>
    <w:rsid w:val="2B2F1BA4"/>
    <w:rsid w:val="2B31B109"/>
    <w:rsid w:val="2B45CC3B"/>
    <w:rsid w:val="2B4DBF5A"/>
    <w:rsid w:val="2B4E301B"/>
    <w:rsid w:val="2B678B18"/>
    <w:rsid w:val="2B83CD33"/>
    <w:rsid w:val="2BC7252C"/>
    <w:rsid w:val="2BE49395"/>
    <w:rsid w:val="2BFB9F56"/>
    <w:rsid w:val="2C1150AC"/>
    <w:rsid w:val="2C14ED94"/>
    <w:rsid w:val="2C17C514"/>
    <w:rsid w:val="2C1BEB5F"/>
    <w:rsid w:val="2C36873F"/>
    <w:rsid w:val="2C5ADA44"/>
    <w:rsid w:val="2C6EAB78"/>
    <w:rsid w:val="2C7C243B"/>
    <w:rsid w:val="2C98CC55"/>
    <w:rsid w:val="2CE91665"/>
    <w:rsid w:val="2D084247"/>
    <w:rsid w:val="2D1735F5"/>
    <w:rsid w:val="2D58CF2A"/>
    <w:rsid w:val="2DCA4DD9"/>
    <w:rsid w:val="2DD9E137"/>
    <w:rsid w:val="2DDB92C4"/>
    <w:rsid w:val="2DDECC22"/>
    <w:rsid w:val="2E048614"/>
    <w:rsid w:val="2E2693D9"/>
    <w:rsid w:val="2E354634"/>
    <w:rsid w:val="2E3DB8DF"/>
    <w:rsid w:val="2E53E34B"/>
    <w:rsid w:val="2E58CD48"/>
    <w:rsid w:val="2E6535AE"/>
    <w:rsid w:val="2E7E77A2"/>
    <w:rsid w:val="2EE9DFE8"/>
    <w:rsid w:val="2EF55A28"/>
    <w:rsid w:val="2F2BF83E"/>
    <w:rsid w:val="2F539DA4"/>
    <w:rsid w:val="2F5B7E79"/>
    <w:rsid w:val="2F86E1C5"/>
    <w:rsid w:val="2F8C6319"/>
    <w:rsid w:val="2F90204B"/>
    <w:rsid w:val="2FA24CBC"/>
    <w:rsid w:val="2FA8DFCA"/>
    <w:rsid w:val="2FBBC234"/>
    <w:rsid w:val="2FC39DCE"/>
    <w:rsid w:val="2FD25EB7"/>
    <w:rsid w:val="2FD3861B"/>
    <w:rsid w:val="2FDDA687"/>
    <w:rsid w:val="2FFEACD3"/>
    <w:rsid w:val="3006718A"/>
    <w:rsid w:val="30121020"/>
    <w:rsid w:val="30251FFD"/>
    <w:rsid w:val="30451B2F"/>
    <w:rsid w:val="30B697E3"/>
    <w:rsid w:val="30CF8B7A"/>
    <w:rsid w:val="30E36AE8"/>
    <w:rsid w:val="310F9D94"/>
    <w:rsid w:val="31172A17"/>
    <w:rsid w:val="311ABC29"/>
    <w:rsid w:val="31246A6B"/>
    <w:rsid w:val="312CFC62"/>
    <w:rsid w:val="314FEA38"/>
    <w:rsid w:val="318D9100"/>
    <w:rsid w:val="31B36608"/>
    <w:rsid w:val="31ECEB28"/>
    <w:rsid w:val="3202AB6C"/>
    <w:rsid w:val="3240805A"/>
    <w:rsid w:val="324D75AE"/>
    <w:rsid w:val="329D5D34"/>
    <w:rsid w:val="32ADAF94"/>
    <w:rsid w:val="32F4022A"/>
    <w:rsid w:val="32F5BF28"/>
    <w:rsid w:val="333A9FF3"/>
    <w:rsid w:val="3354A3F9"/>
    <w:rsid w:val="3374F9B6"/>
    <w:rsid w:val="33A30281"/>
    <w:rsid w:val="33BFF373"/>
    <w:rsid w:val="33CD3F53"/>
    <w:rsid w:val="341D715B"/>
    <w:rsid w:val="344AA0E7"/>
    <w:rsid w:val="34BF3B08"/>
    <w:rsid w:val="34E003B5"/>
    <w:rsid w:val="34E9A16C"/>
    <w:rsid w:val="34ED7C16"/>
    <w:rsid w:val="354255C8"/>
    <w:rsid w:val="354B402B"/>
    <w:rsid w:val="35DFA95B"/>
    <w:rsid w:val="35EA607B"/>
    <w:rsid w:val="35EABC50"/>
    <w:rsid w:val="360D25A6"/>
    <w:rsid w:val="3634035E"/>
    <w:rsid w:val="36353BAC"/>
    <w:rsid w:val="3638E221"/>
    <w:rsid w:val="363E870E"/>
    <w:rsid w:val="364087A6"/>
    <w:rsid w:val="364A29B3"/>
    <w:rsid w:val="36799431"/>
    <w:rsid w:val="36826DFB"/>
    <w:rsid w:val="3686ECFF"/>
    <w:rsid w:val="36CD3836"/>
    <w:rsid w:val="3714A5E0"/>
    <w:rsid w:val="373375C5"/>
    <w:rsid w:val="373BB830"/>
    <w:rsid w:val="37604C5E"/>
    <w:rsid w:val="37698EA8"/>
    <w:rsid w:val="37792C30"/>
    <w:rsid w:val="3786120E"/>
    <w:rsid w:val="378C1543"/>
    <w:rsid w:val="37C7E8EE"/>
    <w:rsid w:val="37C80D2A"/>
    <w:rsid w:val="37D1F545"/>
    <w:rsid w:val="381290A8"/>
    <w:rsid w:val="385C039C"/>
    <w:rsid w:val="3862687F"/>
    <w:rsid w:val="386576C3"/>
    <w:rsid w:val="3883C6BB"/>
    <w:rsid w:val="38AE2020"/>
    <w:rsid w:val="38B78AD6"/>
    <w:rsid w:val="38C5C40F"/>
    <w:rsid w:val="38D876FA"/>
    <w:rsid w:val="390AF421"/>
    <w:rsid w:val="391C4934"/>
    <w:rsid w:val="391FB4BF"/>
    <w:rsid w:val="392D0AB4"/>
    <w:rsid w:val="392F85D3"/>
    <w:rsid w:val="3943724A"/>
    <w:rsid w:val="394A286D"/>
    <w:rsid w:val="39540694"/>
    <w:rsid w:val="3992DBAC"/>
    <w:rsid w:val="39B09752"/>
    <w:rsid w:val="39BA35E5"/>
    <w:rsid w:val="39C2AE33"/>
    <w:rsid w:val="39CF8C7E"/>
    <w:rsid w:val="39D6E576"/>
    <w:rsid w:val="39F23121"/>
    <w:rsid w:val="3A0A8125"/>
    <w:rsid w:val="3A0AB834"/>
    <w:rsid w:val="3A426A55"/>
    <w:rsid w:val="3A543A08"/>
    <w:rsid w:val="3AED6766"/>
    <w:rsid w:val="3AF89A97"/>
    <w:rsid w:val="3AFA5AC3"/>
    <w:rsid w:val="3B61ED45"/>
    <w:rsid w:val="3BCBF9EE"/>
    <w:rsid w:val="3BE3C443"/>
    <w:rsid w:val="3C229AA5"/>
    <w:rsid w:val="3C4CBF11"/>
    <w:rsid w:val="3C622EC3"/>
    <w:rsid w:val="3C77B74E"/>
    <w:rsid w:val="3C7AD91F"/>
    <w:rsid w:val="3C7CF31A"/>
    <w:rsid w:val="3CEC2FCF"/>
    <w:rsid w:val="3CF17C80"/>
    <w:rsid w:val="3D03BEA7"/>
    <w:rsid w:val="3D1CFC42"/>
    <w:rsid w:val="3D2FB8FD"/>
    <w:rsid w:val="3D4BA403"/>
    <w:rsid w:val="3D512D49"/>
    <w:rsid w:val="3D521D59"/>
    <w:rsid w:val="3D609F28"/>
    <w:rsid w:val="3D834DDB"/>
    <w:rsid w:val="3D902054"/>
    <w:rsid w:val="3D966C75"/>
    <w:rsid w:val="3DA5F1DD"/>
    <w:rsid w:val="3DB88AC4"/>
    <w:rsid w:val="3DC6E19B"/>
    <w:rsid w:val="3DD219A1"/>
    <w:rsid w:val="3DF04949"/>
    <w:rsid w:val="3E1422DD"/>
    <w:rsid w:val="3E1556F4"/>
    <w:rsid w:val="3E28858E"/>
    <w:rsid w:val="3E41B8F4"/>
    <w:rsid w:val="3E57A38C"/>
    <w:rsid w:val="3E71EE0A"/>
    <w:rsid w:val="3E7BFAA7"/>
    <w:rsid w:val="3EA4369A"/>
    <w:rsid w:val="3ECDA705"/>
    <w:rsid w:val="3EE66E3E"/>
    <w:rsid w:val="3EEDCF1D"/>
    <w:rsid w:val="3EFB9C6D"/>
    <w:rsid w:val="3F4077C2"/>
    <w:rsid w:val="3F4D5C1D"/>
    <w:rsid w:val="3F5DF5D4"/>
    <w:rsid w:val="3F62230B"/>
    <w:rsid w:val="3F81B7B6"/>
    <w:rsid w:val="3F99CDA2"/>
    <w:rsid w:val="3F9A6F9A"/>
    <w:rsid w:val="3FE51625"/>
    <w:rsid w:val="40490411"/>
    <w:rsid w:val="40639CCC"/>
    <w:rsid w:val="406A3B55"/>
    <w:rsid w:val="4083F948"/>
    <w:rsid w:val="4085AB03"/>
    <w:rsid w:val="40AC32A8"/>
    <w:rsid w:val="40D959AE"/>
    <w:rsid w:val="40E60D1A"/>
    <w:rsid w:val="40FDBBA3"/>
    <w:rsid w:val="4105CB84"/>
    <w:rsid w:val="4112D5EE"/>
    <w:rsid w:val="4151799C"/>
    <w:rsid w:val="419C6E16"/>
    <w:rsid w:val="41A0C7F4"/>
    <w:rsid w:val="41A73EE4"/>
    <w:rsid w:val="41A746F9"/>
    <w:rsid w:val="41AE0E49"/>
    <w:rsid w:val="41C3F5E3"/>
    <w:rsid w:val="41C4A3F1"/>
    <w:rsid w:val="41CCC131"/>
    <w:rsid w:val="426080A4"/>
    <w:rsid w:val="427FEDE4"/>
    <w:rsid w:val="428BDB08"/>
    <w:rsid w:val="42E82361"/>
    <w:rsid w:val="431442D5"/>
    <w:rsid w:val="432D49FA"/>
    <w:rsid w:val="4332846F"/>
    <w:rsid w:val="433BD92B"/>
    <w:rsid w:val="435C5473"/>
    <w:rsid w:val="435F1286"/>
    <w:rsid w:val="4376F5FB"/>
    <w:rsid w:val="4387C242"/>
    <w:rsid w:val="43956142"/>
    <w:rsid w:val="43D24D38"/>
    <w:rsid w:val="43D6BD2C"/>
    <w:rsid w:val="442383EF"/>
    <w:rsid w:val="446AFE78"/>
    <w:rsid w:val="4483123B"/>
    <w:rsid w:val="4487948F"/>
    <w:rsid w:val="449DBEFA"/>
    <w:rsid w:val="45013461"/>
    <w:rsid w:val="453B8B64"/>
    <w:rsid w:val="453E41C7"/>
    <w:rsid w:val="45511A45"/>
    <w:rsid w:val="457C5030"/>
    <w:rsid w:val="457D43F8"/>
    <w:rsid w:val="4582611D"/>
    <w:rsid w:val="45845176"/>
    <w:rsid w:val="45AA2ACB"/>
    <w:rsid w:val="45ACD4C4"/>
    <w:rsid w:val="45CA8E98"/>
    <w:rsid w:val="45CF3D01"/>
    <w:rsid w:val="45EAB217"/>
    <w:rsid w:val="4603ECB3"/>
    <w:rsid w:val="460ACDE2"/>
    <w:rsid w:val="4624A298"/>
    <w:rsid w:val="4670C71A"/>
    <w:rsid w:val="469F59C0"/>
    <w:rsid w:val="46F60F94"/>
    <w:rsid w:val="46F79FA8"/>
    <w:rsid w:val="46FEC95C"/>
    <w:rsid w:val="4716A3A0"/>
    <w:rsid w:val="471ED81A"/>
    <w:rsid w:val="4763AE58"/>
    <w:rsid w:val="4766CD61"/>
    <w:rsid w:val="47ADD13B"/>
    <w:rsid w:val="47BE34A2"/>
    <w:rsid w:val="480EB299"/>
    <w:rsid w:val="484C747E"/>
    <w:rsid w:val="484D7E7E"/>
    <w:rsid w:val="484F93CB"/>
    <w:rsid w:val="48BF8991"/>
    <w:rsid w:val="48C62E38"/>
    <w:rsid w:val="48CE50ED"/>
    <w:rsid w:val="48DB5C00"/>
    <w:rsid w:val="48EC267E"/>
    <w:rsid w:val="48F2695C"/>
    <w:rsid w:val="48F6D545"/>
    <w:rsid w:val="493A7B2B"/>
    <w:rsid w:val="493E4C8C"/>
    <w:rsid w:val="497C8F38"/>
    <w:rsid w:val="4985055C"/>
    <w:rsid w:val="4996A3F0"/>
    <w:rsid w:val="499989EB"/>
    <w:rsid w:val="49F9BBCA"/>
    <w:rsid w:val="4A0E88D3"/>
    <w:rsid w:val="4A195A64"/>
    <w:rsid w:val="4A31EA3F"/>
    <w:rsid w:val="4A336CB0"/>
    <w:rsid w:val="4A83294B"/>
    <w:rsid w:val="4AAE8BF8"/>
    <w:rsid w:val="4AB9F664"/>
    <w:rsid w:val="4AF000F1"/>
    <w:rsid w:val="4AF055D1"/>
    <w:rsid w:val="4AFB2C14"/>
    <w:rsid w:val="4AFCA992"/>
    <w:rsid w:val="4B0C1CBA"/>
    <w:rsid w:val="4B103851"/>
    <w:rsid w:val="4B16B766"/>
    <w:rsid w:val="4B908C28"/>
    <w:rsid w:val="4BBE820C"/>
    <w:rsid w:val="4BF505CD"/>
    <w:rsid w:val="4C1DA24D"/>
    <w:rsid w:val="4C4ECC7C"/>
    <w:rsid w:val="4C92443E"/>
    <w:rsid w:val="4C9B9CA2"/>
    <w:rsid w:val="4CA57120"/>
    <w:rsid w:val="4CDD5ED6"/>
    <w:rsid w:val="4CDFE4A8"/>
    <w:rsid w:val="4D065D69"/>
    <w:rsid w:val="4D469430"/>
    <w:rsid w:val="4D5E4288"/>
    <w:rsid w:val="4D7AE5C1"/>
    <w:rsid w:val="4DBB10C2"/>
    <w:rsid w:val="4DE474BF"/>
    <w:rsid w:val="4DF800A3"/>
    <w:rsid w:val="4E040591"/>
    <w:rsid w:val="4E0CEF30"/>
    <w:rsid w:val="4E139301"/>
    <w:rsid w:val="4E14A8B6"/>
    <w:rsid w:val="4E23642E"/>
    <w:rsid w:val="4E26BBF1"/>
    <w:rsid w:val="4E2E5669"/>
    <w:rsid w:val="4E303386"/>
    <w:rsid w:val="4E3C248D"/>
    <w:rsid w:val="4E506E69"/>
    <w:rsid w:val="4E6A3433"/>
    <w:rsid w:val="4E7C3BAE"/>
    <w:rsid w:val="4E929CB0"/>
    <w:rsid w:val="4ECB645A"/>
    <w:rsid w:val="4EEFB008"/>
    <w:rsid w:val="4F41E61C"/>
    <w:rsid w:val="4FB3908B"/>
    <w:rsid w:val="4FC5CE58"/>
    <w:rsid w:val="4FD91C0C"/>
    <w:rsid w:val="4FDD97DE"/>
    <w:rsid w:val="5077D835"/>
    <w:rsid w:val="50C9EF23"/>
    <w:rsid w:val="50D32E2A"/>
    <w:rsid w:val="50EA7250"/>
    <w:rsid w:val="519DC1AD"/>
    <w:rsid w:val="51E76E61"/>
    <w:rsid w:val="5228F706"/>
    <w:rsid w:val="528BE7CF"/>
    <w:rsid w:val="52AA77D0"/>
    <w:rsid w:val="52CDA43F"/>
    <w:rsid w:val="52E3FB71"/>
    <w:rsid w:val="52FA67F1"/>
    <w:rsid w:val="5303301D"/>
    <w:rsid w:val="534E86A9"/>
    <w:rsid w:val="53524F48"/>
    <w:rsid w:val="5360C14F"/>
    <w:rsid w:val="536A110D"/>
    <w:rsid w:val="537AA0DC"/>
    <w:rsid w:val="537F3C8B"/>
    <w:rsid w:val="5386C559"/>
    <w:rsid w:val="5389448E"/>
    <w:rsid w:val="540C6B78"/>
    <w:rsid w:val="545055D0"/>
    <w:rsid w:val="545D5A64"/>
    <w:rsid w:val="547CF76B"/>
    <w:rsid w:val="549F590D"/>
    <w:rsid w:val="54AF258F"/>
    <w:rsid w:val="54B35149"/>
    <w:rsid w:val="54B59976"/>
    <w:rsid w:val="54C00F39"/>
    <w:rsid w:val="54D453E5"/>
    <w:rsid w:val="54DC035D"/>
    <w:rsid w:val="55150F88"/>
    <w:rsid w:val="55172361"/>
    <w:rsid w:val="5519AA9B"/>
    <w:rsid w:val="553732FF"/>
    <w:rsid w:val="5564A0D1"/>
    <w:rsid w:val="557E2E8B"/>
    <w:rsid w:val="5581033D"/>
    <w:rsid w:val="559715B4"/>
    <w:rsid w:val="5657FD77"/>
    <w:rsid w:val="5669ABE5"/>
    <w:rsid w:val="568DCA56"/>
    <w:rsid w:val="56AD7037"/>
    <w:rsid w:val="56BE88F2"/>
    <w:rsid w:val="56C5134E"/>
    <w:rsid w:val="56EE3B5D"/>
    <w:rsid w:val="5726B7FB"/>
    <w:rsid w:val="572792CF"/>
    <w:rsid w:val="5754044C"/>
    <w:rsid w:val="5769AC2A"/>
    <w:rsid w:val="577C42BD"/>
    <w:rsid w:val="577C9B87"/>
    <w:rsid w:val="577D6B76"/>
    <w:rsid w:val="57944D94"/>
    <w:rsid w:val="57AB1777"/>
    <w:rsid w:val="57DD8AB0"/>
    <w:rsid w:val="583006F5"/>
    <w:rsid w:val="5837A51C"/>
    <w:rsid w:val="58464C0D"/>
    <w:rsid w:val="5858E02A"/>
    <w:rsid w:val="585C65BB"/>
    <w:rsid w:val="586F242D"/>
    <w:rsid w:val="5883D7C7"/>
    <w:rsid w:val="589C188D"/>
    <w:rsid w:val="595465A0"/>
    <w:rsid w:val="596E6C94"/>
    <w:rsid w:val="59F28B2B"/>
    <w:rsid w:val="5A13542F"/>
    <w:rsid w:val="5A236F00"/>
    <w:rsid w:val="5A3DC097"/>
    <w:rsid w:val="5A4063FF"/>
    <w:rsid w:val="5A765C39"/>
    <w:rsid w:val="5A98F1F0"/>
    <w:rsid w:val="5AC3A4BC"/>
    <w:rsid w:val="5ADC5A8F"/>
    <w:rsid w:val="5AEA3F7A"/>
    <w:rsid w:val="5AFA4701"/>
    <w:rsid w:val="5B09E8B6"/>
    <w:rsid w:val="5B0B7F24"/>
    <w:rsid w:val="5B35B9E4"/>
    <w:rsid w:val="5B645863"/>
    <w:rsid w:val="5B74A7AD"/>
    <w:rsid w:val="5B77BA1E"/>
    <w:rsid w:val="5B8EA607"/>
    <w:rsid w:val="5C311777"/>
    <w:rsid w:val="5C4D3BA7"/>
    <w:rsid w:val="5C6FB7A3"/>
    <w:rsid w:val="5C91959A"/>
    <w:rsid w:val="5CAB46A4"/>
    <w:rsid w:val="5CAD0CBE"/>
    <w:rsid w:val="5CB0CEBE"/>
    <w:rsid w:val="5CB54B18"/>
    <w:rsid w:val="5CC02160"/>
    <w:rsid w:val="5CC5F256"/>
    <w:rsid w:val="5CF3F792"/>
    <w:rsid w:val="5D14088E"/>
    <w:rsid w:val="5D1C644A"/>
    <w:rsid w:val="5D5C0667"/>
    <w:rsid w:val="5D87D2BF"/>
    <w:rsid w:val="5D944D9F"/>
    <w:rsid w:val="5D97BCC1"/>
    <w:rsid w:val="5D9F022D"/>
    <w:rsid w:val="5DAAEF92"/>
    <w:rsid w:val="5DB31D08"/>
    <w:rsid w:val="5DC3BFDA"/>
    <w:rsid w:val="5E06C214"/>
    <w:rsid w:val="5E2FA57A"/>
    <w:rsid w:val="5E31A529"/>
    <w:rsid w:val="5E5C1337"/>
    <w:rsid w:val="5E85E429"/>
    <w:rsid w:val="5E8FE215"/>
    <w:rsid w:val="5EBC9616"/>
    <w:rsid w:val="5EBF91C7"/>
    <w:rsid w:val="5ECE35A2"/>
    <w:rsid w:val="5EED8F39"/>
    <w:rsid w:val="5F4744E4"/>
    <w:rsid w:val="5F4EE08F"/>
    <w:rsid w:val="5F5F2406"/>
    <w:rsid w:val="5F619F74"/>
    <w:rsid w:val="5F6ADF04"/>
    <w:rsid w:val="5F6B5F51"/>
    <w:rsid w:val="5F75559B"/>
    <w:rsid w:val="5FEA3925"/>
    <w:rsid w:val="60114946"/>
    <w:rsid w:val="60348C28"/>
    <w:rsid w:val="6037E223"/>
    <w:rsid w:val="604440E9"/>
    <w:rsid w:val="6074E750"/>
    <w:rsid w:val="60928764"/>
    <w:rsid w:val="60DFECA5"/>
    <w:rsid w:val="611DC631"/>
    <w:rsid w:val="612DC89B"/>
    <w:rsid w:val="613CFB63"/>
    <w:rsid w:val="6144B484"/>
    <w:rsid w:val="6145ADD4"/>
    <w:rsid w:val="6166A56C"/>
    <w:rsid w:val="61804AF0"/>
    <w:rsid w:val="619B583B"/>
    <w:rsid w:val="61D601A2"/>
    <w:rsid w:val="61E21691"/>
    <w:rsid w:val="6208DA50"/>
    <w:rsid w:val="62241871"/>
    <w:rsid w:val="62315742"/>
    <w:rsid w:val="624506EB"/>
    <w:rsid w:val="624B32EB"/>
    <w:rsid w:val="625E846A"/>
    <w:rsid w:val="62A6B52E"/>
    <w:rsid w:val="62D4F826"/>
    <w:rsid w:val="62EFFF52"/>
    <w:rsid w:val="633F444C"/>
    <w:rsid w:val="63864804"/>
    <w:rsid w:val="6390C631"/>
    <w:rsid w:val="64174EFA"/>
    <w:rsid w:val="641CA025"/>
    <w:rsid w:val="64325354"/>
    <w:rsid w:val="6439CC9C"/>
    <w:rsid w:val="645F6E25"/>
    <w:rsid w:val="64A33647"/>
    <w:rsid w:val="64F3FE78"/>
    <w:rsid w:val="64FD4B42"/>
    <w:rsid w:val="650FADEF"/>
    <w:rsid w:val="65191F5B"/>
    <w:rsid w:val="651A784B"/>
    <w:rsid w:val="65492C07"/>
    <w:rsid w:val="6570844B"/>
    <w:rsid w:val="65BD71F9"/>
    <w:rsid w:val="65C11ABB"/>
    <w:rsid w:val="65D6751C"/>
    <w:rsid w:val="66099916"/>
    <w:rsid w:val="661213B0"/>
    <w:rsid w:val="663D90EA"/>
    <w:rsid w:val="6654BD77"/>
    <w:rsid w:val="6659974A"/>
    <w:rsid w:val="66B5B0E9"/>
    <w:rsid w:val="66FBF0DE"/>
    <w:rsid w:val="67145BC0"/>
    <w:rsid w:val="671DFCCB"/>
    <w:rsid w:val="673ECD2F"/>
    <w:rsid w:val="6794C9F1"/>
    <w:rsid w:val="679C63B4"/>
    <w:rsid w:val="67B156F5"/>
    <w:rsid w:val="67C962D8"/>
    <w:rsid w:val="6801EBC5"/>
    <w:rsid w:val="6847A794"/>
    <w:rsid w:val="684FD3BA"/>
    <w:rsid w:val="68A60434"/>
    <w:rsid w:val="68B4234E"/>
    <w:rsid w:val="68C2405B"/>
    <w:rsid w:val="68D8348F"/>
    <w:rsid w:val="68E734C6"/>
    <w:rsid w:val="6907456A"/>
    <w:rsid w:val="69080F62"/>
    <w:rsid w:val="6909FE53"/>
    <w:rsid w:val="69108400"/>
    <w:rsid w:val="691139EB"/>
    <w:rsid w:val="692BD0E8"/>
    <w:rsid w:val="6936DE6A"/>
    <w:rsid w:val="69389C27"/>
    <w:rsid w:val="693D7B9E"/>
    <w:rsid w:val="69887320"/>
    <w:rsid w:val="69974E0B"/>
    <w:rsid w:val="69BE7D3D"/>
    <w:rsid w:val="6A1D7760"/>
    <w:rsid w:val="6A2786DE"/>
    <w:rsid w:val="6A2A0965"/>
    <w:rsid w:val="6A653592"/>
    <w:rsid w:val="6A7B2226"/>
    <w:rsid w:val="6AA9339B"/>
    <w:rsid w:val="6AACE78F"/>
    <w:rsid w:val="6AEB88BC"/>
    <w:rsid w:val="6B7AB392"/>
    <w:rsid w:val="6B858ED1"/>
    <w:rsid w:val="6B996B99"/>
    <w:rsid w:val="6BCAB1AB"/>
    <w:rsid w:val="6BD64DC2"/>
    <w:rsid w:val="6C159D90"/>
    <w:rsid w:val="6C19DDA7"/>
    <w:rsid w:val="6C1CB7E1"/>
    <w:rsid w:val="6C22156D"/>
    <w:rsid w:val="6C30F9B8"/>
    <w:rsid w:val="6C553393"/>
    <w:rsid w:val="6C63DC3E"/>
    <w:rsid w:val="6C6676A0"/>
    <w:rsid w:val="6C6770A3"/>
    <w:rsid w:val="6C7218E1"/>
    <w:rsid w:val="6C7CF6F5"/>
    <w:rsid w:val="6C863402"/>
    <w:rsid w:val="6C9F1959"/>
    <w:rsid w:val="6CA82726"/>
    <w:rsid w:val="6CAF0F90"/>
    <w:rsid w:val="6CCAB9D8"/>
    <w:rsid w:val="6CCE6D0E"/>
    <w:rsid w:val="6CD10D07"/>
    <w:rsid w:val="6CDC0E9C"/>
    <w:rsid w:val="6CE64C44"/>
    <w:rsid w:val="6D0EAD22"/>
    <w:rsid w:val="6D15EB2A"/>
    <w:rsid w:val="6D195E9F"/>
    <w:rsid w:val="6D6EC8A2"/>
    <w:rsid w:val="6DB405C1"/>
    <w:rsid w:val="6DD2850B"/>
    <w:rsid w:val="6E12FB4D"/>
    <w:rsid w:val="6E476EDA"/>
    <w:rsid w:val="6E6DD605"/>
    <w:rsid w:val="6E9F91D1"/>
    <w:rsid w:val="6EA4326B"/>
    <w:rsid w:val="6EB4E189"/>
    <w:rsid w:val="6EC3D07A"/>
    <w:rsid w:val="6EC74B11"/>
    <w:rsid w:val="6ED27FAB"/>
    <w:rsid w:val="6ED5DDA3"/>
    <w:rsid w:val="6F0E0E56"/>
    <w:rsid w:val="6F330DB6"/>
    <w:rsid w:val="6F7E8D88"/>
    <w:rsid w:val="6F8CDFF6"/>
    <w:rsid w:val="6FAD8AC9"/>
    <w:rsid w:val="6FD284EE"/>
    <w:rsid w:val="7018FB08"/>
    <w:rsid w:val="70322EAC"/>
    <w:rsid w:val="705EC939"/>
    <w:rsid w:val="7060F1B6"/>
    <w:rsid w:val="70731A9F"/>
    <w:rsid w:val="707B84A2"/>
    <w:rsid w:val="70B77D4A"/>
    <w:rsid w:val="7127D9A3"/>
    <w:rsid w:val="7156F894"/>
    <w:rsid w:val="719CE177"/>
    <w:rsid w:val="71B3CED4"/>
    <w:rsid w:val="71D588B6"/>
    <w:rsid w:val="7206B1E8"/>
    <w:rsid w:val="722D6E5A"/>
    <w:rsid w:val="7268988C"/>
    <w:rsid w:val="726E44D4"/>
    <w:rsid w:val="7287C2F2"/>
    <w:rsid w:val="72A3D784"/>
    <w:rsid w:val="72BE078C"/>
    <w:rsid w:val="72DCEF01"/>
    <w:rsid w:val="72F6263D"/>
    <w:rsid w:val="7369DCAA"/>
    <w:rsid w:val="7373A09E"/>
    <w:rsid w:val="7378D506"/>
    <w:rsid w:val="73937A7E"/>
    <w:rsid w:val="73A7BB60"/>
    <w:rsid w:val="73AB849F"/>
    <w:rsid w:val="74044715"/>
    <w:rsid w:val="742D6BE6"/>
    <w:rsid w:val="74573DB1"/>
    <w:rsid w:val="7473E308"/>
    <w:rsid w:val="74C814BD"/>
    <w:rsid w:val="74F2C602"/>
    <w:rsid w:val="751B7F50"/>
    <w:rsid w:val="753E214B"/>
    <w:rsid w:val="7547EF74"/>
    <w:rsid w:val="75588C19"/>
    <w:rsid w:val="759BDA77"/>
    <w:rsid w:val="75C1E9CC"/>
    <w:rsid w:val="75CA5C36"/>
    <w:rsid w:val="75D9C849"/>
    <w:rsid w:val="75EC942F"/>
    <w:rsid w:val="7606947A"/>
    <w:rsid w:val="7632C8DB"/>
    <w:rsid w:val="763911F2"/>
    <w:rsid w:val="7658151C"/>
    <w:rsid w:val="7678B09F"/>
    <w:rsid w:val="767AC640"/>
    <w:rsid w:val="7685A722"/>
    <w:rsid w:val="768923F1"/>
    <w:rsid w:val="7693FA93"/>
    <w:rsid w:val="76A89E9D"/>
    <w:rsid w:val="76D8AA0B"/>
    <w:rsid w:val="76EBAAFB"/>
    <w:rsid w:val="7701BAE7"/>
    <w:rsid w:val="770E0F88"/>
    <w:rsid w:val="77175B65"/>
    <w:rsid w:val="7726DEFA"/>
    <w:rsid w:val="775D8219"/>
    <w:rsid w:val="7772746A"/>
    <w:rsid w:val="77789850"/>
    <w:rsid w:val="777940EF"/>
    <w:rsid w:val="77C65721"/>
    <w:rsid w:val="77D9F6E0"/>
    <w:rsid w:val="782B9121"/>
    <w:rsid w:val="782EF29E"/>
    <w:rsid w:val="78380718"/>
    <w:rsid w:val="7870CA78"/>
    <w:rsid w:val="787A4F7C"/>
    <w:rsid w:val="78951C84"/>
    <w:rsid w:val="78C688AF"/>
    <w:rsid w:val="78CF7E74"/>
    <w:rsid w:val="7917B930"/>
    <w:rsid w:val="796C6597"/>
    <w:rsid w:val="79D7EC29"/>
    <w:rsid w:val="79FFE725"/>
    <w:rsid w:val="7A75E751"/>
    <w:rsid w:val="7A890D6F"/>
    <w:rsid w:val="7A983675"/>
    <w:rsid w:val="7AA529D7"/>
    <w:rsid w:val="7ABC8779"/>
    <w:rsid w:val="7ABDB65D"/>
    <w:rsid w:val="7AF2E3DC"/>
    <w:rsid w:val="7B6C802A"/>
    <w:rsid w:val="7B8F950A"/>
    <w:rsid w:val="7C3A5A6C"/>
    <w:rsid w:val="7C3FD914"/>
    <w:rsid w:val="7C9A84A3"/>
    <w:rsid w:val="7CB67634"/>
    <w:rsid w:val="7CCCC9E3"/>
    <w:rsid w:val="7CDAD7D6"/>
    <w:rsid w:val="7CF525D3"/>
    <w:rsid w:val="7D27890B"/>
    <w:rsid w:val="7D417CE7"/>
    <w:rsid w:val="7DD6B47B"/>
    <w:rsid w:val="7DF912CB"/>
    <w:rsid w:val="7E02ABD6"/>
    <w:rsid w:val="7E6785FF"/>
    <w:rsid w:val="7E84D5B2"/>
    <w:rsid w:val="7E9AD3DC"/>
    <w:rsid w:val="7ECBBC60"/>
    <w:rsid w:val="7ED4058B"/>
    <w:rsid w:val="7EEE6E6A"/>
    <w:rsid w:val="7EFABD62"/>
    <w:rsid w:val="7F45674D"/>
    <w:rsid w:val="7F514A62"/>
    <w:rsid w:val="7F5CAA55"/>
    <w:rsid w:val="7F724FFF"/>
    <w:rsid w:val="7F88B72C"/>
    <w:rsid w:val="7F9A0FB0"/>
    <w:rsid w:val="7FA8A5D0"/>
    <w:rsid w:val="7FDDE6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AA426"/>
  <w15:chartTrackingRefBased/>
  <w15:docId w15:val="{EC5C257B-246B-40AB-87E8-2042B84A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7D"/>
    <w:rPr>
      <w:rFonts w:ascii="Arial" w:hAnsi="Arial"/>
      <w:sz w:val="20"/>
    </w:rPr>
  </w:style>
  <w:style w:type="paragraph" w:styleId="Heading1">
    <w:name w:val="heading 1"/>
    <w:basedOn w:val="Normal"/>
    <w:next w:val="Normal"/>
    <w:link w:val="Heading1Char"/>
    <w:uiPriority w:val="9"/>
    <w:qFormat/>
    <w:rsid w:val="00532F7D"/>
    <w:pPr>
      <w:keepNext/>
      <w:keepLines/>
      <w:numPr>
        <w:numId w:val="4"/>
      </w:numPr>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F7D"/>
    <w:pPr>
      <w:keepNext/>
      <w:keepLines/>
      <w:numPr>
        <w:ilvl w:val="1"/>
        <w:numId w:val="4"/>
      </w:numPr>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F7D"/>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0EA9"/>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B0EA9"/>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0EA9"/>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0EA9"/>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EA9"/>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EA9"/>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F7D"/>
    <w:rPr>
      <w:rFonts w:ascii="Arial" w:eastAsiaTheme="majorEastAsia" w:hAnsi="Arial" w:cstheme="majorBidi"/>
      <w:color w:val="0F4761" w:themeColor="accent1" w:themeShade="BF"/>
      <w:sz w:val="32"/>
      <w:szCs w:val="32"/>
    </w:rPr>
  </w:style>
  <w:style w:type="paragraph" w:styleId="ListParagraph">
    <w:name w:val="List Paragraph"/>
    <w:basedOn w:val="Normal"/>
    <w:link w:val="ListParagraphChar"/>
    <w:uiPriority w:val="34"/>
    <w:qFormat/>
    <w:rsid w:val="00EB0EA9"/>
    <w:pPr>
      <w:ind w:left="720"/>
      <w:contextualSpacing/>
    </w:pPr>
  </w:style>
  <w:style w:type="character" w:customStyle="1" w:styleId="Heading3Char">
    <w:name w:val="Heading 3 Char"/>
    <w:basedOn w:val="DefaultParagraphFont"/>
    <w:link w:val="Heading3"/>
    <w:uiPriority w:val="9"/>
    <w:rsid w:val="00532F7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rsid w:val="00EB0EA9"/>
    <w:rPr>
      <w:rFonts w:ascii="Arial" w:eastAsiaTheme="majorEastAsia" w:hAnsi="Arial" w:cstheme="majorBidi"/>
      <w:i/>
      <w:iCs/>
      <w:color w:val="0F4761" w:themeColor="accent1" w:themeShade="BF"/>
      <w:sz w:val="20"/>
    </w:rPr>
  </w:style>
  <w:style w:type="character" w:customStyle="1" w:styleId="Heading5Char">
    <w:name w:val="Heading 5 Char"/>
    <w:basedOn w:val="DefaultParagraphFont"/>
    <w:link w:val="Heading5"/>
    <w:uiPriority w:val="9"/>
    <w:rsid w:val="00EB0EA9"/>
    <w:rPr>
      <w:rFonts w:ascii="Arial" w:eastAsiaTheme="majorEastAsia" w:hAnsi="Arial" w:cstheme="majorBidi"/>
      <w:color w:val="0F4761" w:themeColor="accent1" w:themeShade="BF"/>
      <w:sz w:val="20"/>
    </w:rPr>
  </w:style>
  <w:style w:type="character" w:customStyle="1" w:styleId="Heading6Char">
    <w:name w:val="Heading 6 Char"/>
    <w:basedOn w:val="DefaultParagraphFont"/>
    <w:link w:val="Heading6"/>
    <w:uiPriority w:val="9"/>
    <w:rsid w:val="00EB0EA9"/>
    <w:rPr>
      <w:rFonts w:ascii="Arial" w:eastAsiaTheme="majorEastAsia" w:hAnsi="Arial" w:cstheme="majorBidi"/>
      <w:i/>
      <w:iCs/>
      <w:color w:val="595959" w:themeColor="text1" w:themeTint="A6"/>
      <w:sz w:val="20"/>
    </w:rPr>
  </w:style>
  <w:style w:type="character" w:customStyle="1" w:styleId="Heading7Char">
    <w:name w:val="Heading 7 Char"/>
    <w:basedOn w:val="DefaultParagraphFont"/>
    <w:link w:val="Heading7"/>
    <w:uiPriority w:val="9"/>
    <w:rsid w:val="00EB0EA9"/>
    <w:rPr>
      <w:rFonts w:ascii="Arial" w:eastAsiaTheme="majorEastAsia" w:hAnsi="Arial" w:cstheme="majorBidi"/>
      <w:color w:val="595959" w:themeColor="text1" w:themeTint="A6"/>
      <w:sz w:val="20"/>
    </w:rPr>
  </w:style>
  <w:style w:type="character" w:customStyle="1" w:styleId="Heading1Char">
    <w:name w:val="Heading 1 Char"/>
    <w:basedOn w:val="DefaultParagraphFont"/>
    <w:link w:val="Heading1"/>
    <w:uiPriority w:val="9"/>
    <w:rsid w:val="00532F7D"/>
    <w:rPr>
      <w:rFonts w:ascii="Arial" w:eastAsiaTheme="majorEastAsia" w:hAnsi="Arial" w:cstheme="majorBidi"/>
      <w:color w:val="0F4761" w:themeColor="accent1" w:themeShade="BF"/>
      <w:sz w:val="40"/>
      <w:szCs w:val="40"/>
    </w:rPr>
  </w:style>
  <w:style w:type="character" w:customStyle="1" w:styleId="Heading8Char">
    <w:name w:val="Heading 8 Char"/>
    <w:basedOn w:val="DefaultParagraphFont"/>
    <w:link w:val="Heading8"/>
    <w:uiPriority w:val="9"/>
    <w:semiHidden/>
    <w:rsid w:val="00EB0EA9"/>
    <w:rPr>
      <w:rFonts w:ascii="Arial" w:eastAsiaTheme="majorEastAsia" w:hAnsi="Arial" w:cstheme="majorBidi"/>
      <w:i/>
      <w:iCs/>
      <w:color w:val="272727" w:themeColor="text1" w:themeTint="D8"/>
      <w:sz w:val="20"/>
    </w:rPr>
  </w:style>
  <w:style w:type="character" w:customStyle="1" w:styleId="Heading9Char">
    <w:name w:val="Heading 9 Char"/>
    <w:basedOn w:val="DefaultParagraphFont"/>
    <w:link w:val="Heading9"/>
    <w:uiPriority w:val="9"/>
    <w:semiHidden/>
    <w:rsid w:val="00EB0EA9"/>
    <w:rPr>
      <w:rFonts w:ascii="Arial" w:eastAsiaTheme="majorEastAsia" w:hAnsi="Arial" w:cstheme="majorBidi"/>
      <w:color w:val="272727" w:themeColor="text1" w:themeTint="D8"/>
      <w:sz w:val="20"/>
    </w:rPr>
  </w:style>
  <w:style w:type="paragraph" w:styleId="Title">
    <w:name w:val="Title"/>
    <w:basedOn w:val="Normal"/>
    <w:next w:val="Normal"/>
    <w:link w:val="TitleChar"/>
    <w:uiPriority w:val="10"/>
    <w:qFormat/>
    <w:rsid w:val="0004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B79"/>
    <w:pPr>
      <w:spacing w:before="160"/>
      <w:jc w:val="center"/>
    </w:pPr>
    <w:rPr>
      <w:i/>
      <w:iCs/>
      <w:color w:val="404040" w:themeColor="text1" w:themeTint="BF"/>
    </w:rPr>
  </w:style>
  <w:style w:type="character" w:customStyle="1" w:styleId="QuoteChar">
    <w:name w:val="Quote Char"/>
    <w:basedOn w:val="DefaultParagraphFont"/>
    <w:link w:val="Quote"/>
    <w:uiPriority w:val="29"/>
    <w:rsid w:val="00044B79"/>
    <w:rPr>
      <w:i/>
      <w:iCs/>
      <w:color w:val="404040" w:themeColor="text1" w:themeTint="BF"/>
    </w:rPr>
  </w:style>
  <w:style w:type="character" w:styleId="IntenseEmphasis">
    <w:name w:val="Intense Emphasis"/>
    <w:basedOn w:val="DefaultParagraphFont"/>
    <w:uiPriority w:val="21"/>
    <w:qFormat/>
    <w:rsid w:val="00044B79"/>
    <w:rPr>
      <w:i/>
      <w:iCs/>
      <w:color w:val="0F4761" w:themeColor="accent1" w:themeShade="BF"/>
    </w:rPr>
  </w:style>
  <w:style w:type="paragraph" w:styleId="IntenseQuote">
    <w:name w:val="Intense Quote"/>
    <w:basedOn w:val="Normal"/>
    <w:next w:val="Normal"/>
    <w:link w:val="IntenseQuoteChar"/>
    <w:uiPriority w:val="30"/>
    <w:qFormat/>
    <w:rsid w:val="0004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B79"/>
    <w:rPr>
      <w:i/>
      <w:iCs/>
      <w:color w:val="0F4761" w:themeColor="accent1" w:themeShade="BF"/>
    </w:rPr>
  </w:style>
  <w:style w:type="character" w:styleId="IntenseReference">
    <w:name w:val="Intense Reference"/>
    <w:basedOn w:val="DefaultParagraphFont"/>
    <w:uiPriority w:val="32"/>
    <w:qFormat/>
    <w:rsid w:val="00044B79"/>
    <w:rPr>
      <w:b/>
      <w:bCs/>
      <w:smallCaps/>
      <w:color w:val="0F4761" w:themeColor="accent1" w:themeShade="BF"/>
      <w:spacing w:val="5"/>
    </w:rPr>
  </w:style>
  <w:style w:type="character" w:styleId="Hyperlink">
    <w:name w:val="Hyperlink"/>
    <w:basedOn w:val="DefaultParagraphFont"/>
    <w:uiPriority w:val="99"/>
    <w:unhideWhenUsed/>
    <w:rsid w:val="00044B79"/>
    <w:rPr>
      <w:color w:val="467886" w:themeColor="hyperlink"/>
      <w:u w:val="single"/>
    </w:rPr>
  </w:style>
  <w:style w:type="character" w:styleId="UnresolvedMention">
    <w:name w:val="Unresolved Mention"/>
    <w:basedOn w:val="DefaultParagraphFont"/>
    <w:uiPriority w:val="99"/>
    <w:semiHidden/>
    <w:unhideWhenUsed/>
    <w:rsid w:val="00044B79"/>
    <w:rPr>
      <w:color w:val="605E5C"/>
      <w:shd w:val="clear" w:color="auto" w:fill="E1DFDD"/>
    </w:rPr>
  </w:style>
  <w:style w:type="character" w:styleId="FollowedHyperlink">
    <w:name w:val="FollowedHyperlink"/>
    <w:basedOn w:val="DefaultParagraphFont"/>
    <w:uiPriority w:val="99"/>
    <w:semiHidden/>
    <w:unhideWhenUsed/>
    <w:rsid w:val="00044B79"/>
    <w:rPr>
      <w:color w:val="96607D" w:themeColor="followedHyperlink"/>
      <w:u w:val="single"/>
    </w:rPr>
  </w:style>
  <w:style w:type="table" w:styleId="TableGrid">
    <w:name w:val="Table Grid"/>
    <w:basedOn w:val="TableNormal"/>
    <w:uiPriority w:val="39"/>
    <w:rsid w:val="0004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7"/>
  </w:style>
  <w:style w:type="paragraph" w:styleId="NoSpacing">
    <w:name w:val="No Spacing"/>
    <w:uiPriority w:val="1"/>
    <w:qFormat/>
    <w:rsid w:val="00532F7D"/>
    <w:pPr>
      <w:spacing w:after="0" w:line="240" w:lineRule="auto"/>
    </w:pPr>
    <w:rPr>
      <w:rFonts w:ascii="Arial" w:hAnsi="Arial"/>
      <w:sz w:val="20"/>
    </w:rPr>
  </w:style>
  <w:style w:type="paragraph" w:customStyle="1" w:styleId="TableStyle">
    <w:name w:val="Table Style"/>
    <w:basedOn w:val="Normal"/>
    <w:link w:val="TableStyleChar"/>
    <w:qFormat/>
    <w:rsid w:val="007B6916"/>
    <w:pPr>
      <w:spacing w:before="40" w:after="40"/>
    </w:pPr>
    <w:rPr>
      <w:rFonts w:cs="Arial"/>
      <w:szCs w:val="20"/>
    </w:rPr>
  </w:style>
  <w:style w:type="character" w:customStyle="1" w:styleId="TableStyleChar">
    <w:name w:val="Table Style Char"/>
    <w:basedOn w:val="DefaultParagraphFont"/>
    <w:link w:val="TableStyle"/>
    <w:rsid w:val="007B6916"/>
    <w:rPr>
      <w:rFonts w:ascii="Arial" w:hAnsi="Arial" w:cs="Arial"/>
      <w:sz w:val="20"/>
      <w:szCs w:val="20"/>
    </w:rPr>
  </w:style>
  <w:style w:type="paragraph" w:customStyle="1" w:styleId="TableBullet">
    <w:name w:val="Table Bullet"/>
    <w:basedOn w:val="ListParagraph"/>
    <w:link w:val="TableBulletChar"/>
    <w:qFormat/>
    <w:rsid w:val="007B6916"/>
    <w:pPr>
      <w:numPr>
        <w:numId w:val="5"/>
      </w:numPr>
      <w:spacing w:before="40" w:after="40" w:line="240" w:lineRule="auto"/>
    </w:pPr>
    <w:rPr>
      <w:rFonts w:cs="Arial"/>
      <w:szCs w:val="20"/>
    </w:rPr>
  </w:style>
  <w:style w:type="character" w:customStyle="1" w:styleId="ListParagraphChar">
    <w:name w:val="List Paragraph Char"/>
    <w:basedOn w:val="DefaultParagraphFont"/>
    <w:link w:val="ListParagraph"/>
    <w:uiPriority w:val="34"/>
    <w:rsid w:val="007B6916"/>
    <w:rPr>
      <w:rFonts w:ascii="Arial" w:hAnsi="Arial"/>
      <w:sz w:val="20"/>
    </w:rPr>
  </w:style>
  <w:style w:type="character" w:customStyle="1" w:styleId="TableBulletChar">
    <w:name w:val="Table Bullet Char"/>
    <w:basedOn w:val="ListParagraphChar"/>
    <w:link w:val="TableBullet"/>
    <w:rsid w:val="007B6916"/>
    <w:rPr>
      <w:rFonts w:ascii="Arial" w:hAnsi="Arial" w:cs="Arial"/>
      <w:sz w:val="20"/>
      <w:szCs w:val="20"/>
    </w:rPr>
  </w:style>
  <w:style w:type="paragraph" w:styleId="Caption">
    <w:name w:val="caption"/>
    <w:basedOn w:val="Normal"/>
    <w:next w:val="Normal"/>
    <w:uiPriority w:val="35"/>
    <w:unhideWhenUsed/>
    <w:qFormat/>
    <w:rsid w:val="009C5F41"/>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A3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67"/>
    <w:rPr>
      <w:rFonts w:ascii="Arial" w:hAnsi="Arial"/>
      <w:sz w:val="20"/>
    </w:rPr>
  </w:style>
  <w:style w:type="paragraph" w:styleId="FootnoteText">
    <w:name w:val="footnote text"/>
    <w:basedOn w:val="Normal"/>
    <w:link w:val="FootnoteTextChar"/>
    <w:uiPriority w:val="99"/>
    <w:semiHidden/>
    <w:unhideWhenUsed/>
    <w:rsid w:val="007005FA"/>
    <w:pPr>
      <w:spacing w:after="0" w:line="240" w:lineRule="auto"/>
    </w:pPr>
    <w:rPr>
      <w:szCs w:val="20"/>
    </w:rPr>
  </w:style>
  <w:style w:type="character" w:customStyle="1" w:styleId="FootnoteTextChar">
    <w:name w:val="Footnote Text Char"/>
    <w:basedOn w:val="DefaultParagraphFont"/>
    <w:link w:val="FootnoteText"/>
    <w:uiPriority w:val="99"/>
    <w:semiHidden/>
    <w:rsid w:val="007005FA"/>
    <w:rPr>
      <w:rFonts w:ascii="Arial" w:hAnsi="Arial"/>
      <w:sz w:val="20"/>
      <w:szCs w:val="20"/>
    </w:rPr>
  </w:style>
  <w:style w:type="character" w:styleId="FootnoteReference">
    <w:name w:val="footnote reference"/>
    <w:basedOn w:val="DefaultParagraphFont"/>
    <w:uiPriority w:val="99"/>
    <w:semiHidden/>
    <w:unhideWhenUsed/>
    <w:rsid w:val="007005FA"/>
    <w:rPr>
      <w:vertAlign w:val="superscript"/>
    </w:rPr>
  </w:style>
  <w:style w:type="character" w:customStyle="1" w:styleId="normaltextrun">
    <w:name w:val="normaltextrun"/>
    <w:basedOn w:val="DefaultParagraphFont"/>
    <w:rsid w:val="00FF0E52"/>
  </w:style>
  <w:style w:type="paragraph" w:customStyle="1" w:styleId="ReferenceList">
    <w:name w:val="Reference List"/>
    <w:basedOn w:val="BodyText"/>
    <w:qFormat/>
    <w:rsid w:val="00C62E39"/>
    <w:pPr>
      <w:spacing w:line="240" w:lineRule="auto"/>
      <w:ind w:left="567" w:hanging="567"/>
      <w:jc w:val="both"/>
    </w:pPr>
    <w:rPr>
      <w:rFonts w:eastAsia="Times New Roman" w:cs="Times New Roman"/>
      <w:kern w:val="0"/>
      <w:sz w:val="18"/>
      <w:szCs w:val="24"/>
      <w:lang w:eastAsia="en-AU"/>
      <w14:ligatures w14:val="none"/>
    </w:rPr>
  </w:style>
  <w:style w:type="paragraph" w:styleId="BodyText">
    <w:name w:val="Body Text"/>
    <w:basedOn w:val="Normal"/>
    <w:link w:val="BodyTextChar"/>
    <w:uiPriority w:val="99"/>
    <w:semiHidden/>
    <w:unhideWhenUsed/>
    <w:rsid w:val="00C62E39"/>
    <w:pPr>
      <w:spacing w:after="120"/>
    </w:pPr>
  </w:style>
  <w:style w:type="character" w:customStyle="1" w:styleId="BodyTextChar">
    <w:name w:val="Body Text Char"/>
    <w:basedOn w:val="DefaultParagraphFont"/>
    <w:link w:val="BodyText"/>
    <w:uiPriority w:val="99"/>
    <w:semiHidden/>
    <w:rsid w:val="00C62E39"/>
    <w:rPr>
      <w:rFonts w:ascii="Arial" w:hAnsi="Arial"/>
      <w:sz w:val="20"/>
    </w:rPr>
  </w:style>
  <w:style w:type="paragraph" w:styleId="Revision">
    <w:name w:val="Revision"/>
    <w:hidden/>
    <w:uiPriority w:val="99"/>
    <w:semiHidden/>
    <w:rsid w:val="00E1214E"/>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0354AD"/>
    <w:rPr>
      <w:sz w:val="16"/>
      <w:szCs w:val="16"/>
    </w:rPr>
  </w:style>
  <w:style w:type="paragraph" w:styleId="CommentText">
    <w:name w:val="annotation text"/>
    <w:basedOn w:val="Normal"/>
    <w:link w:val="CommentTextChar"/>
    <w:uiPriority w:val="99"/>
    <w:unhideWhenUsed/>
    <w:rsid w:val="000354AD"/>
    <w:pPr>
      <w:spacing w:line="240" w:lineRule="auto"/>
    </w:pPr>
    <w:rPr>
      <w:szCs w:val="20"/>
    </w:rPr>
  </w:style>
  <w:style w:type="character" w:customStyle="1" w:styleId="CommentTextChar">
    <w:name w:val="Comment Text Char"/>
    <w:basedOn w:val="DefaultParagraphFont"/>
    <w:link w:val="CommentText"/>
    <w:uiPriority w:val="99"/>
    <w:rsid w:val="000354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54AD"/>
    <w:rPr>
      <w:b/>
      <w:bCs/>
    </w:rPr>
  </w:style>
  <w:style w:type="character" w:customStyle="1" w:styleId="CommentSubjectChar">
    <w:name w:val="Comment Subject Char"/>
    <w:basedOn w:val="CommentTextChar"/>
    <w:link w:val="CommentSubject"/>
    <w:uiPriority w:val="99"/>
    <w:semiHidden/>
    <w:rsid w:val="000354AD"/>
    <w:rPr>
      <w:rFonts w:ascii="Arial" w:hAnsi="Arial"/>
      <w:b/>
      <w:bCs/>
      <w:sz w:val="20"/>
      <w:szCs w:val="20"/>
    </w:rPr>
  </w:style>
  <w:style w:type="character" w:styleId="Mention">
    <w:name w:val="Mention"/>
    <w:basedOn w:val="DefaultParagraphFont"/>
    <w:uiPriority w:val="99"/>
    <w:unhideWhenUsed/>
    <w:rsid w:val="00FF1C78"/>
    <w:rPr>
      <w:color w:val="2B579A"/>
      <w:shd w:val="clear" w:color="auto" w:fill="E1DFDD"/>
    </w:rPr>
  </w:style>
  <w:style w:type="character" w:customStyle="1" w:styleId="cf01">
    <w:name w:val="cf01"/>
    <w:basedOn w:val="DefaultParagraphFont"/>
    <w:rsid w:val="00864F7B"/>
    <w:rPr>
      <w:rFonts w:ascii="Segoe UI" w:hAnsi="Segoe UI" w:cs="Segoe UI" w:hint="default"/>
      <w:sz w:val="18"/>
      <w:szCs w:val="18"/>
    </w:rPr>
  </w:style>
  <w:style w:type="paragraph" w:styleId="EndnoteText">
    <w:name w:val="endnote text"/>
    <w:basedOn w:val="Normal"/>
    <w:link w:val="EndnoteTextChar"/>
    <w:uiPriority w:val="99"/>
    <w:semiHidden/>
    <w:unhideWhenUsed/>
    <w:rsid w:val="00243A40"/>
    <w:pPr>
      <w:spacing w:after="0" w:line="240" w:lineRule="auto"/>
    </w:pPr>
    <w:rPr>
      <w:szCs w:val="20"/>
    </w:rPr>
  </w:style>
  <w:style w:type="character" w:customStyle="1" w:styleId="EndnoteTextChar">
    <w:name w:val="Endnote Text Char"/>
    <w:basedOn w:val="DefaultParagraphFont"/>
    <w:link w:val="EndnoteText"/>
    <w:uiPriority w:val="99"/>
    <w:semiHidden/>
    <w:rsid w:val="00243A40"/>
    <w:rPr>
      <w:rFonts w:ascii="Arial" w:hAnsi="Arial"/>
      <w:sz w:val="20"/>
      <w:szCs w:val="20"/>
    </w:rPr>
  </w:style>
  <w:style w:type="character" w:styleId="EndnoteReference">
    <w:name w:val="endnote reference"/>
    <w:basedOn w:val="DefaultParagraphFont"/>
    <w:uiPriority w:val="99"/>
    <w:semiHidden/>
    <w:unhideWhenUsed/>
    <w:rsid w:val="00243A40"/>
    <w:rPr>
      <w:vertAlign w:val="superscript"/>
    </w:rPr>
  </w:style>
  <w:style w:type="paragraph" w:styleId="TOC1">
    <w:name w:val="toc 1"/>
    <w:basedOn w:val="Normal"/>
    <w:next w:val="Normal"/>
    <w:autoRedefine/>
    <w:uiPriority w:val="39"/>
    <w:unhideWhenUsed/>
    <w:rsid w:val="00A820D8"/>
    <w:pPr>
      <w:tabs>
        <w:tab w:val="left" w:pos="720"/>
        <w:tab w:val="right" w:leader="dot" w:pos="9016"/>
      </w:tabs>
      <w:spacing w:after="40" w:line="360" w:lineRule="auto"/>
    </w:pPr>
  </w:style>
  <w:style w:type="paragraph" w:styleId="TOC2">
    <w:name w:val="toc 2"/>
    <w:basedOn w:val="Normal"/>
    <w:next w:val="Normal"/>
    <w:autoRedefine/>
    <w:uiPriority w:val="39"/>
    <w:unhideWhenUsed/>
    <w:rsid w:val="005C5173"/>
    <w:pPr>
      <w:tabs>
        <w:tab w:val="left" w:pos="960"/>
        <w:tab w:val="right" w:leader="dot" w:pos="9016"/>
      </w:tabs>
      <w:spacing w:after="40" w:line="240" w:lineRule="auto"/>
      <w:ind w:left="198"/>
    </w:pPr>
  </w:style>
  <w:style w:type="paragraph" w:styleId="TOC3">
    <w:name w:val="toc 3"/>
    <w:basedOn w:val="Normal"/>
    <w:next w:val="Normal"/>
    <w:autoRedefine/>
    <w:uiPriority w:val="39"/>
    <w:unhideWhenUsed/>
    <w:rsid w:val="00A820D8"/>
    <w:pPr>
      <w:tabs>
        <w:tab w:val="left" w:pos="1200"/>
        <w:tab w:val="right" w:leader="dot" w:pos="9016"/>
      </w:tabs>
      <w:spacing w:after="120" w:line="240" w:lineRule="auto"/>
      <w:ind w:left="4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904">
      <w:bodyDiv w:val="1"/>
      <w:marLeft w:val="0"/>
      <w:marRight w:val="0"/>
      <w:marTop w:val="0"/>
      <w:marBottom w:val="0"/>
      <w:divBdr>
        <w:top w:val="none" w:sz="0" w:space="0" w:color="auto"/>
        <w:left w:val="none" w:sz="0" w:space="0" w:color="auto"/>
        <w:bottom w:val="none" w:sz="0" w:space="0" w:color="auto"/>
        <w:right w:val="none" w:sz="0" w:space="0" w:color="auto"/>
      </w:divBdr>
    </w:div>
    <w:div w:id="219753187">
      <w:bodyDiv w:val="1"/>
      <w:marLeft w:val="0"/>
      <w:marRight w:val="0"/>
      <w:marTop w:val="0"/>
      <w:marBottom w:val="0"/>
      <w:divBdr>
        <w:top w:val="none" w:sz="0" w:space="0" w:color="auto"/>
        <w:left w:val="none" w:sz="0" w:space="0" w:color="auto"/>
        <w:bottom w:val="none" w:sz="0" w:space="0" w:color="auto"/>
        <w:right w:val="none" w:sz="0" w:space="0" w:color="auto"/>
      </w:divBdr>
    </w:div>
    <w:div w:id="487795109">
      <w:bodyDiv w:val="1"/>
      <w:marLeft w:val="0"/>
      <w:marRight w:val="0"/>
      <w:marTop w:val="0"/>
      <w:marBottom w:val="0"/>
      <w:divBdr>
        <w:top w:val="none" w:sz="0" w:space="0" w:color="auto"/>
        <w:left w:val="none" w:sz="0" w:space="0" w:color="auto"/>
        <w:bottom w:val="none" w:sz="0" w:space="0" w:color="auto"/>
        <w:right w:val="none" w:sz="0" w:space="0" w:color="auto"/>
      </w:divBdr>
      <w:divsChild>
        <w:div w:id="560796517">
          <w:marLeft w:val="0"/>
          <w:marRight w:val="0"/>
          <w:marTop w:val="0"/>
          <w:marBottom w:val="0"/>
          <w:divBdr>
            <w:top w:val="none" w:sz="0" w:space="0" w:color="auto"/>
            <w:left w:val="none" w:sz="0" w:space="0" w:color="auto"/>
            <w:bottom w:val="none" w:sz="0" w:space="0" w:color="auto"/>
            <w:right w:val="none" w:sz="0" w:space="0" w:color="auto"/>
          </w:divBdr>
          <w:divsChild>
            <w:div w:id="111049394">
              <w:marLeft w:val="0"/>
              <w:marRight w:val="0"/>
              <w:marTop w:val="0"/>
              <w:marBottom w:val="0"/>
              <w:divBdr>
                <w:top w:val="none" w:sz="0" w:space="0" w:color="auto"/>
                <w:left w:val="none" w:sz="0" w:space="0" w:color="auto"/>
                <w:bottom w:val="none" w:sz="0" w:space="0" w:color="auto"/>
                <w:right w:val="none" w:sz="0" w:space="0" w:color="auto"/>
              </w:divBdr>
              <w:divsChild>
                <w:div w:id="166679958">
                  <w:marLeft w:val="0"/>
                  <w:marRight w:val="0"/>
                  <w:marTop w:val="0"/>
                  <w:marBottom w:val="0"/>
                  <w:divBdr>
                    <w:top w:val="none" w:sz="0" w:space="0" w:color="auto"/>
                    <w:left w:val="none" w:sz="0" w:space="0" w:color="auto"/>
                    <w:bottom w:val="none" w:sz="0" w:space="0" w:color="auto"/>
                    <w:right w:val="none" w:sz="0" w:space="0" w:color="auto"/>
                  </w:divBdr>
                  <w:divsChild>
                    <w:div w:id="34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613">
      <w:bodyDiv w:val="1"/>
      <w:marLeft w:val="0"/>
      <w:marRight w:val="0"/>
      <w:marTop w:val="0"/>
      <w:marBottom w:val="0"/>
      <w:divBdr>
        <w:top w:val="none" w:sz="0" w:space="0" w:color="auto"/>
        <w:left w:val="none" w:sz="0" w:space="0" w:color="auto"/>
        <w:bottom w:val="none" w:sz="0" w:space="0" w:color="auto"/>
        <w:right w:val="none" w:sz="0" w:space="0" w:color="auto"/>
      </w:divBdr>
    </w:div>
    <w:div w:id="1354765629">
      <w:bodyDiv w:val="1"/>
      <w:marLeft w:val="0"/>
      <w:marRight w:val="0"/>
      <w:marTop w:val="0"/>
      <w:marBottom w:val="0"/>
      <w:divBdr>
        <w:top w:val="none" w:sz="0" w:space="0" w:color="auto"/>
        <w:left w:val="none" w:sz="0" w:space="0" w:color="auto"/>
        <w:bottom w:val="none" w:sz="0" w:space="0" w:color="auto"/>
        <w:right w:val="none" w:sz="0" w:space="0" w:color="auto"/>
      </w:divBdr>
    </w:div>
    <w:div w:id="1469283463">
      <w:bodyDiv w:val="1"/>
      <w:marLeft w:val="0"/>
      <w:marRight w:val="0"/>
      <w:marTop w:val="0"/>
      <w:marBottom w:val="0"/>
      <w:divBdr>
        <w:top w:val="none" w:sz="0" w:space="0" w:color="auto"/>
        <w:left w:val="none" w:sz="0" w:space="0" w:color="auto"/>
        <w:bottom w:val="none" w:sz="0" w:space="0" w:color="auto"/>
        <w:right w:val="none" w:sz="0" w:space="0" w:color="auto"/>
      </w:divBdr>
    </w:div>
    <w:div w:id="1670868665">
      <w:bodyDiv w:val="1"/>
      <w:marLeft w:val="0"/>
      <w:marRight w:val="0"/>
      <w:marTop w:val="0"/>
      <w:marBottom w:val="0"/>
      <w:divBdr>
        <w:top w:val="none" w:sz="0" w:space="0" w:color="auto"/>
        <w:left w:val="none" w:sz="0" w:space="0" w:color="auto"/>
        <w:bottom w:val="none" w:sz="0" w:space="0" w:color="auto"/>
        <w:right w:val="none" w:sz="0" w:space="0" w:color="auto"/>
      </w:divBdr>
    </w:div>
    <w:div w:id="1785034541">
      <w:bodyDiv w:val="1"/>
      <w:marLeft w:val="0"/>
      <w:marRight w:val="0"/>
      <w:marTop w:val="0"/>
      <w:marBottom w:val="0"/>
      <w:divBdr>
        <w:top w:val="none" w:sz="0" w:space="0" w:color="auto"/>
        <w:left w:val="none" w:sz="0" w:space="0" w:color="auto"/>
        <w:bottom w:val="none" w:sz="0" w:space="0" w:color="auto"/>
        <w:right w:val="none" w:sz="0" w:space="0" w:color="auto"/>
      </w:divBdr>
      <w:divsChild>
        <w:div w:id="2106415707">
          <w:marLeft w:val="0"/>
          <w:marRight w:val="0"/>
          <w:marTop w:val="0"/>
          <w:marBottom w:val="0"/>
          <w:divBdr>
            <w:top w:val="none" w:sz="0" w:space="0" w:color="auto"/>
            <w:left w:val="none" w:sz="0" w:space="0" w:color="auto"/>
            <w:bottom w:val="none" w:sz="0" w:space="0" w:color="auto"/>
            <w:right w:val="none" w:sz="0" w:space="0" w:color="auto"/>
          </w:divBdr>
          <w:divsChild>
            <w:div w:id="2088766101">
              <w:marLeft w:val="0"/>
              <w:marRight w:val="0"/>
              <w:marTop w:val="0"/>
              <w:marBottom w:val="0"/>
              <w:divBdr>
                <w:top w:val="none" w:sz="0" w:space="0" w:color="auto"/>
                <w:left w:val="none" w:sz="0" w:space="0" w:color="auto"/>
                <w:bottom w:val="none" w:sz="0" w:space="0" w:color="auto"/>
                <w:right w:val="none" w:sz="0" w:space="0" w:color="auto"/>
              </w:divBdr>
              <w:divsChild>
                <w:div w:id="575943517">
                  <w:marLeft w:val="0"/>
                  <w:marRight w:val="0"/>
                  <w:marTop w:val="0"/>
                  <w:marBottom w:val="0"/>
                  <w:divBdr>
                    <w:top w:val="none" w:sz="0" w:space="0" w:color="auto"/>
                    <w:left w:val="none" w:sz="0" w:space="0" w:color="auto"/>
                    <w:bottom w:val="none" w:sz="0" w:space="0" w:color="auto"/>
                    <w:right w:val="none" w:sz="0" w:space="0" w:color="auto"/>
                  </w:divBdr>
                  <w:divsChild>
                    <w:div w:id="368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ictionary.cambridge.org/dictionary/english/equipment" TargetMode="External"/><Relationship Id="rId26" Type="http://schemas.openxmlformats.org/officeDocument/2006/relationships/hyperlink" Target="https://www.waterquality.gov.au/anz-guidelines/resources/key-concepts/conceptual-models" TargetMode="External"/><Relationship Id="rId39" Type="http://schemas.openxmlformats.org/officeDocument/2006/relationships/hyperlink" Target="https://doi.org/10.1111/rec.13785" TargetMode="External"/><Relationship Id="rId21" Type="http://schemas.openxmlformats.org/officeDocument/2006/relationships/image" Target="media/image3.png"/><Relationship Id="rId34" Type="http://schemas.openxmlformats.org/officeDocument/2006/relationships/hyperlink" Target="https://www.iesc.gov.au/sites/default/files/2024-02/summary-guide-using-impact-pathway-diagrams-ecohydrological-conceptualisation-environmental-impact-assessment.pdf" TargetMode="External"/><Relationship Id="rId42"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resources.vic.gov.au/legislation-and-regulations/guidelines-and-codes-of-practice/work-plan-guidelines-for-mining-licences/Preparation-of-work-plans-and-work-plan-variations-mining-project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inance.gov.au/sites/default/files/2019-11/Risk-Management-Process.pdf" TargetMode="External"/><Relationship Id="rId32" Type="http://schemas.openxmlformats.org/officeDocument/2006/relationships/hyperlink" Target="https://www.icmm.com/en-gb/guidance/health-safety/2015/ccm-good-practice-guide" TargetMode="External"/><Relationship Id="rId37" Type="http://schemas.openxmlformats.org/officeDocument/2006/relationships/hyperlink" Target="https://environment.desi.qld.gov.au/__data/assets/pdf_file/0036/88857/managing-residual-risks-discussion-paper.pdf" TargetMode="External"/><Relationship Id="rId40" Type="http://schemas.openxmlformats.org/officeDocument/2006/relationships/image" Target="media/image6.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ebooks.publish.csiro.au/content/guidelines-open-pit-and-waste-dump-closure" TargetMode="External"/><Relationship Id="rId36" Type="http://schemas.openxmlformats.org/officeDocument/2006/relationships/hyperlink" Target="https://www.mineland.vic.gov.au/learn/vocabulary/" TargetMode="External"/><Relationship Id="rId10" Type="http://schemas.openxmlformats.org/officeDocument/2006/relationships/webSettings" Target="webSettings.xml"/><Relationship Id="rId19" Type="http://schemas.openxmlformats.org/officeDocument/2006/relationships/hyperlink" Target="https://dictionary.cambridge.org/dictionary/english/resource" TargetMode="External"/><Relationship Id="rId31" Type="http://schemas.openxmlformats.org/officeDocument/2006/relationships/hyperlink" Target="https://engage.vic.gov.au/download/document/4247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www.publications.qld.gov.au/ckan-publications-attachments-prod/resources/f7f107ce-52d4-427e-837b-5a81984bbb40/20232003-risk-assessment-educational-resource.pdf?ETag=d353c0ea3e90ed671fee9803b4d9ae91" TargetMode="External"/><Relationship Id="rId30" Type="http://schemas.openxmlformats.org/officeDocument/2006/relationships/hyperlink" Target="https://earthresources.vic.gov.au/__data/assets/pdf_file/0004/895693/Regulatory-Impact-Statement-Proposed-Mineral-Resources-Sustainable-Development-Mineral-Industries-Amendment-Regulations-2022.pdf" TargetMode="External"/><Relationship Id="rId35" Type="http://schemas.openxmlformats.org/officeDocument/2006/relationships/hyperlink" Target="https://www.iisd.org/system/files/2023-09/relinquishment-closed-mines-policy-steps-for-governments-en.pdf" TargetMode="External"/><Relationship Id="rId43"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finance.gov.au/government/comcover/risk-services/management/risk-management-toolkit/element-7-emerging-risks" TargetMode="External"/><Relationship Id="rId33" Type="http://schemas.openxmlformats.org/officeDocument/2006/relationships/hyperlink" Target="https://www.icmm.com/integrated-mine-closure" TargetMode="External"/><Relationship Id="rId38" Type="http://schemas.openxmlformats.org/officeDocument/2006/relationships/hyperlink" Target="https://www.des.qld.gov.au/policies?a=272936:policy_registry/era-gl-residual-risk-assessment.pdf" TargetMode="External"/><Relationship Id="rId20" Type="http://schemas.openxmlformats.org/officeDocument/2006/relationships/image" Target="media/image2.png"/><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des.qld.gov.au/policies?a=272936:policy_registry/era-gl-residual-risk-assessment.pdf" TargetMode="External"/><Relationship Id="rId13" Type="http://schemas.openxmlformats.org/officeDocument/2006/relationships/hyperlink" Target="https://www.finance.gov.au/sites/default/files/2019-11/Risk-Management-Process.pdf" TargetMode="External"/><Relationship Id="rId18" Type="http://schemas.openxmlformats.org/officeDocument/2006/relationships/hyperlink" Target="https://engage.vic.gov.au/download/document/42474" TargetMode="External"/><Relationship Id="rId26" Type="http://schemas.openxmlformats.org/officeDocument/2006/relationships/hyperlink" Target="https://ebooks.publish.csiro.au/content/guidelines-open-pit-and-waste-dump-closure" TargetMode="External"/><Relationship Id="rId3" Type="http://schemas.openxmlformats.org/officeDocument/2006/relationships/hyperlink" Target="https://doi.org/10.1111/rec.13785" TargetMode="External"/><Relationship Id="rId21" Type="http://schemas.openxmlformats.org/officeDocument/2006/relationships/hyperlink" Target="https://www.waterquality.gov.au/anz-guidelines/resources/key-concepts/conceptual-models" TargetMode="External"/><Relationship Id="rId7" Type="http://schemas.openxmlformats.org/officeDocument/2006/relationships/hyperlink" Target="https://www.des.qld.gov.au/policies?a=272936:policy_registry/era-gl-residual-risk-assessment.pdf" TargetMode="External"/><Relationship Id="rId12" Type="http://schemas.openxmlformats.org/officeDocument/2006/relationships/hyperlink" Target="https://www.des.qld.gov.au/policies?a=272936:policy_registry/era-gl-residual-risk-assessment.pdf" TargetMode="External"/><Relationship Id="rId17" Type="http://schemas.openxmlformats.org/officeDocument/2006/relationships/hyperlink" Target="https://www.icmm.com/integrated-mine-closure" TargetMode="External"/><Relationship Id="rId25" Type="http://schemas.openxmlformats.org/officeDocument/2006/relationships/hyperlink" Target="https://www.publications.qld.gov.au/ckan-publications-attachments-prod/resources/f7f107ce-52d4-427e-837b-5a81984bbb40/20232003-risk-assessment-educational-resource.pdf?ETag=d353c0ea3e90ed671fee9803b4d9ae91" TargetMode="External"/><Relationship Id="rId2" Type="http://schemas.openxmlformats.org/officeDocument/2006/relationships/hyperlink" Target="https://www.iisd.org/system/files/2023-09/relinquishment-closed-mines-policy-steps-for-governments-en.pdf" TargetMode="External"/><Relationship Id="rId16" Type="http://schemas.openxmlformats.org/officeDocument/2006/relationships/hyperlink" Target="https://resources.vic.gov.au/legislation-and-regulations/guidelines-and-codes-of-practice/work-plan-guidelines-for-mining-licences/Preparation-of-work-plans-and-work-plan-variations-mining-projects.pdf" TargetMode="External"/><Relationship Id="rId20" Type="http://schemas.openxmlformats.org/officeDocument/2006/relationships/hyperlink" Target="https://www.iesc.gov.au/sites/default/files/2024-02/summary-guide-using-impact-pathway-diagrams-ecohydrological-conceptualisation-environmental-impact-assessment.pdf" TargetMode="External"/><Relationship Id="rId29" Type="http://schemas.openxmlformats.org/officeDocument/2006/relationships/hyperlink" Target="https://www.finance.gov.au/government/comcover/risk-services/management/risk-management-toolkit/element-7-emerging-risks" TargetMode="External"/><Relationship Id="rId1" Type="http://schemas.openxmlformats.org/officeDocument/2006/relationships/hyperlink" Target="https://earthresources.vic.gov.au/__data/assets/pdf_file/0004/895693/Regulatory-Impact-Statement-Proposed-Mineral-Resources-Sustainable-Development-Mineral-Industries-Amendment-Regulations-2022.pdf" TargetMode="External"/><Relationship Id="rId6" Type="http://schemas.openxmlformats.org/officeDocument/2006/relationships/hyperlink" Target="https://www.iisd.org/system/files/2023-09/relinquishment-closed-mines-policy-steps-for-governments-en.pdf" TargetMode="External"/><Relationship Id="rId11" Type="http://schemas.openxmlformats.org/officeDocument/2006/relationships/hyperlink" Target="https://www.iisd.org/system/files/2023-09/relinquishment-closed-mines-policy-steps-for-governments-en.pdf" TargetMode="External"/><Relationship Id="rId24" Type="http://schemas.openxmlformats.org/officeDocument/2006/relationships/hyperlink" Target="https://ebooks.publish.csiro.au/content/guidelines-open-pit-and-waste-dump-closure" TargetMode="External"/><Relationship Id="rId5" Type="http://schemas.openxmlformats.org/officeDocument/2006/relationships/hyperlink" Target="https://doi.org/10.1111/rec.13785" TargetMode="External"/><Relationship Id="rId15" Type="http://schemas.openxmlformats.org/officeDocument/2006/relationships/hyperlink" Target="https://www.icmm.com/integrated-mine-closure" TargetMode="External"/><Relationship Id="rId23" Type="http://schemas.openxmlformats.org/officeDocument/2006/relationships/hyperlink" Target="https://www.icmm.com/integrated-mine-closure" TargetMode="External"/><Relationship Id="rId28" Type="http://schemas.openxmlformats.org/officeDocument/2006/relationships/hyperlink" Target="https://ebooks.publish.csiro.au/content/guidelines-open-pit-and-waste-dump-closure" TargetMode="External"/><Relationship Id="rId10" Type="http://schemas.openxmlformats.org/officeDocument/2006/relationships/hyperlink" Target="https://www.des.qld.gov.au/policies?a=272936:policy_registry/era-gl-residual-risk-assessment.pdf" TargetMode="External"/><Relationship Id="rId19" Type="http://schemas.openxmlformats.org/officeDocument/2006/relationships/hyperlink" Target="https://engage.vic.gov.au/download/document/42474" TargetMode="External"/><Relationship Id="rId31" Type="http://schemas.openxmlformats.org/officeDocument/2006/relationships/hyperlink" Target="https://www.icmm.com/en-gb/guidance/health-safety/2015/ccm-good-practice-guide" TargetMode="External"/><Relationship Id="rId4" Type="http://schemas.openxmlformats.org/officeDocument/2006/relationships/hyperlink" Target="https://www.iisd.org/system/files/2023-09/relinquishment-closed-mines-policy-steps-for-governments-en.pdf" TargetMode="External"/><Relationship Id="rId9" Type="http://schemas.openxmlformats.org/officeDocument/2006/relationships/hyperlink" Target="https://www.des.qld.gov.au/policies?a=272936:policy_registry/era-gl-residual-risk-assessment.pdf" TargetMode="External"/><Relationship Id="rId14" Type="http://schemas.openxmlformats.org/officeDocument/2006/relationships/hyperlink" Target="https://ebooks.publish.csiro.au/content/guidelines-open-pit-and-waste-dump-closure" TargetMode="External"/><Relationship Id="rId22" Type="http://schemas.openxmlformats.org/officeDocument/2006/relationships/hyperlink" Target="https://environment.desi.qld.gov.au/__data/assets/pdf_file/0036/88857/managing-residual-risks-discussion-paper.pdf" TargetMode="External"/><Relationship Id="rId27" Type="http://schemas.openxmlformats.org/officeDocument/2006/relationships/hyperlink" Target="https://ebooks.publish.csiro.au/content/guidelines-open-pit-and-waste-dump-closure" TargetMode="External"/><Relationship Id="rId30" Type="http://schemas.openxmlformats.org/officeDocument/2006/relationships/hyperlink" Target="https://www.publications.qld.gov.au/ckan-publications-attachments-prod/resources/f7f107ce-52d4-427e-837b-5a81984bbb40/20232003-risk-assessment-educational-resource.pdf?ETag=d353c0ea3e90ed671fee9803b4d9ae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BCEC9A3D-8C27-4392-B088-871A087827E8}">
  <ds:schemaRefs>
    <ds:schemaRef ds:uri="http://schemas.openxmlformats.org/officeDocument/2006/bibliography"/>
  </ds:schemaRefs>
</ds:datastoreItem>
</file>

<file path=customXml/itemProps2.xml><?xml version="1.0" encoding="utf-8"?>
<ds:datastoreItem xmlns:ds="http://schemas.openxmlformats.org/officeDocument/2006/customXml" ds:itemID="{A4049373-EE5B-439F-A812-89934AA5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6A272-127A-42E9-8C0F-70F9A715D230}">
  <ds:schemaRefs>
    <ds:schemaRef ds:uri="http://schemas.microsoft.com/sharepoint/events"/>
  </ds:schemaRefs>
</ds:datastoreItem>
</file>

<file path=customXml/itemProps4.xml><?xml version="1.0" encoding="utf-8"?>
<ds:datastoreItem xmlns:ds="http://schemas.openxmlformats.org/officeDocument/2006/customXml" ds:itemID="{30904CCA-CF17-4463-98BB-C2F124564F99}">
  <ds:schemaRefs>
    <ds:schemaRef ds:uri="http://schemas.microsoft.com/sharepoint/v3/contenttype/forms"/>
  </ds:schemaRefs>
</ds:datastoreItem>
</file>

<file path=customXml/itemProps5.xml><?xml version="1.0" encoding="utf-8"?>
<ds:datastoreItem xmlns:ds="http://schemas.openxmlformats.org/officeDocument/2006/customXml" ds:itemID="{47159EC0-9CC5-464B-B117-CF7E927EECA5}">
  <ds:schemaRefs>
    <ds:schemaRef ds:uri="6819d285-fbbf-44cc-9982-85efbfe1e4b9"/>
    <ds:schemaRef ds:uri="http://purl.org/dc/elements/1.1/"/>
    <ds:schemaRef ds:uri="5e1c08d6-38c5-40b8-8b84-554aecd2fcf3"/>
    <ds:schemaRef ds:uri="http://purl.org/dc/dcmitype/"/>
    <ds:schemaRef ds:uri="d3786519-5789-458f-8e93-5f91bbcf305b"/>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a5f32de4-e402-4188-b034-e71ca7d22e54"/>
    <ds:schemaRef ds:uri="82e636bd-1ac8-4bd5-b55e-a283be4a2028"/>
  </ds:schemaRefs>
</ds:datastoreItem>
</file>

<file path=customXml/itemProps6.xml><?xml version="1.0" encoding="utf-8"?>
<ds:datastoreItem xmlns:ds="http://schemas.openxmlformats.org/officeDocument/2006/customXml" ds:itemID="{DC71885D-8250-45F0-9D93-C02D3ADFD1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8747</Words>
  <Characters>50489</Characters>
  <Application>Microsoft Office Word</Application>
  <DocSecurity>0</DocSecurity>
  <Lines>1104</Lines>
  <Paragraphs>426</Paragraphs>
  <ScaleCrop>false</ScaleCrop>
  <Company/>
  <LinksUpToDate>false</LinksUpToDate>
  <CharactersWithSpaces>59111</CharactersWithSpaces>
  <SharedDoc>false</SharedDoc>
  <HLinks>
    <vt:vector size="492" baseType="variant">
      <vt:variant>
        <vt:i4>5374029</vt:i4>
      </vt:variant>
      <vt:variant>
        <vt:i4>351</vt:i4>
      </vt:variant>
      <vt:variant>
        <vt:i4>0</vt:i4>
      </vt:variant>
      <vt:variant>
        <vt:i4>5</vt:i4>
      </vt:variant>
      <vt:variant>
        <vt:lpwstr>https://doi.org/10.1111/rec.13785</vt:lpwstr>
      </vt:variant>
      <vt:variant>
        <vt:lpwstr/>
      </vt:variant>
      <vt:variant>
        <vt:i4>6357021</vt:i4>
      </vt:variant>
      <vt:variant>
        <vt:i4>348</vt:i4>
      </vt:variant>
      <vt:variant>
        <vt:i4>0</vt:i4>
      </vt:variant>
      <vt:variant>
        <vt:i4>5</vt:i4>
      </vt:variant>
      <vt:variant>
        <vt:lpwstr>https://www.des.qld.gov.au/policies?a=272936:policy_registry/era-gl-residual-risk-assessment.pdf</vt:lpwstr>
      </vt:variant>
      <vt:variant>
        <vt:lpwstr/>
      </vt:variant>
      <vt:variant>
        <vt:i4>3080267</vt:i4>
      </vt:variant>
      <vt:variant>
        <vt:i4>345</vt:i4>
      </vt:variant>
      <vt:variant>
        <vt:i4>0</vt:i4>
      </vt:variant>
      <vt:variant>
        <vt:i4>5</vt:i4>
      </vt:variant>
      <vt:variant>
        <vt:lpwstr>https://environment.desi.qld.gov.au/__data/assets/pdf_file/0036/88857/managing-residual-risks-discussion-paper.pdf</vt:lpwstr>
      </vt:variant>
      <vt:variant>
        <vt:lpwstr/>
      </vt:variant>
      <vt:variant>
        <vt:i4>5242902</vt:i4>
      </vt:variant>
      <vt:variant>
        <vt:i4>342</vt:i4>
      </vt:variant>
      <vt:variant>
        <vt:i4>0</vt:i4>
      </vt:variant>
      <vt:variant>
        <vt:i4>5</vt:i4>
      </vt:variant>
      <vt:variant>
        <vt:lpwstr>https://www.mineland.vic.gov.au/learn/vocabulary/</vt:lpwstr>
      </vt:variant>
      <vt:variant>
        <vt:lpwstr/>
      </vt:variant>
      <vt:variant>
        <vt:i4>131080</vt:i4>
      </vt:variant>
      <vt:variant>
        <vt:i4>339</vt:i4>
      </vt:variant>
      <vt:variant>
        <vt:i4>0</vt:i4>
      </vt:variant>
      <vt:variant>
        <vt:i4>5</vt:i4>
      </vt:variant>
      <vt:variant>
        <vt:lpwstr>https://www.iisd.org/system/files/2023-09/relinquishment-closed-mines-policy-steps-for-governments-en.pdf</vt:lpwstr>
      </vt:variant>
      <vt:variant>
        <vt:lpwstr/>
      </vt:variant>
      <vt:variant>
        <vt:i4>6160415</vt:i4>
      </vt:variant>
      <vt:variant>
        <vt:i4>336</vt:i4>
      </vt:variant>
      <vt:variant>
        <vt:i4>0</vt:i4>
      </vt:variant>
      <vt:variant>
        <vt:i4>5</vt:i4>
      </vt:variant>
      <vt:variant>
        <vt:lpwstr>https://www.iesc.gov.au/sites/default/files/2024-02/summary-guide-using-impact-pathway-diagrams-ecohydrological-conceptualisation-environmental-impact-assessment.pdf</vt:lpwstr>
      </vt:variant>
      <vt:variant>
        <vt:lpwstr/>
      </vt:variant>
      <vt:variant>
        <vt:i4>720896</vt:i4>
      </vt:variant>
      <vt:variant>
        <vt:i4>333</vt:i4>
      </vt:variant>
      <vt:variant>
        <vt:i4>0</vt:i4>
      </vt:variant>
      <vt:variant>
        <vt:i4>5</vt:i4>
      </vt:variant>
      <vt:variant>
        <vt:lpwstr>https://www.icmm.com/integrated-mine-closure</vt:lpwstr>
      </vt:variant>
      <vt:variant>
        <vt:lpwstr/>
      </vt:variant>
      <vt:variant>
        <vt:i4>3539048</vt:i4>
      </vt:variant>
      <vt:variant>
        <vt:i4>330</vt:i4>
      </vt:variant>
      <vt:variant>
        <vt:i4>0</vt:i4>
      </vt:variant>
      <vt:variant>
        <vt:i4>5</vt:i4>
      </vt:variant>
      <vt:variant>
        <vt:lpwstr>https://www.icmm.com/en-gb/guidance/health-safety/2015/ccm-good-practice-guide</vt:lpwstr>
      </vt:variant>
      <vt:variant>
        <vt:lpwstr/>
      </vt:variant>
      <vt:variant>
        <vt:i4>1376322</vt:i4>
      </vt:variant>
      <vt:variant>
        <vt:i4>327</vt:i4>
      </vt:variant>
      <vt:variant>
        <vt:i4>0</vt:i4>
      </vt:variant>
      <vt:variant>
        <vt:i4>5</vt:i4>
      </vt:variant>
      <vt:variant>
        <vt:lpwstr>https://engage.vic.gov.au/download/document/42474</vt:lpwstr>
      </vt:variant>
      <vt:variant>
        <vt:lpwstr/>
      </vt:variant>
      <vt:variant>
        <vt:i4>655470</vt:i4>
      </vt:variant>
      <vt:variant>
        <vt:i4>324</vt:i4>
      </vt:variant>
      <vt:variant>
        <vt:i4>0</vt:i4>
      </vt:variant>
      <vt:variant>
        <vt:i4>5</vt:i4>
      </vt:variant>
      <vt:variant>
        <vt:lpwstr>https://earthresources.vic.gov.au/__data/assets/pdf_file/0004/895693/Regulatory-Impact-Statement-Proposed-Mineral-Resources-Sustainable-Development-Mineral-Industries-Amendment-Regulations-2022.pdf</vt:lpwstr>
      </vt:variant>
      <vt:variant>
        <vt:lpwstr/>
      </vt:variant>
      <vt:variant>
        <vt:i4>6225926</vt:i4>
      </vt:variant>
      <vt:variant>
        <vt:i4>321</vt:i4>
      </vt:variant>
      <vt:variant>
        <vt:i4>0</vt:i4>
      </vt:variant>
      <vt:variant>
        <vt:i4>5</vt:i4>
      </vt:variant>
      <vt:variant>
        <vt:lpwstr>https://resources.vic.gov.au/legislation-and-regulations/guidelines-and-codes-of-practice/work-plan-guidelines-for-mining-licences/Preparation-of-work-plans-and-work-plan-variations-mining-projects.pdf</vt:lpwstr>
      </vt:variant>
      <vt:variant>
        <vt:lpwstr/>
      </vt:variant>
      <vt:variant>
        <vt:i4>7078000</vt:i4>
      </vt:variant>
      <vt:variant>
        <vt:i4>318</vt:i4>
      </vt:variant>
      <vt:variant>
        <vt:i4>0</vt:i4>
      </vt:variant>
      <vt:variant>
        <vt:i4>5</vt:i4>
      </vt:variant>
      <vt:variant>
        <vt:lpwstr>https://ebooks.publish.csiro.au/content/guidelines-open-pit-and-waste-dump-closure</vt:lpwstr>
      </vt:variant>
      <vt:variant>
        <vt:lpwstr/>
      </vt:variant>
      <vt:variant>
        <vt:i4>5636110</vt:i4>
      </vt:variant>
      <vt:variant>
        <vt:i4>315</vt:i4>
      </vt:variant>
      <vt:variant>
        <vt:i4>0</vt:i4>
      </vt:variant>
      <vt:variant>
        <vt:i4>5</vt:i4>
      </vt:variant>
      <vt:variant>
        <vt:lpwstr>https://www.publications.qld.gov.au/ckan-publications-attachments-prod/resources/f7f107ce-52d4-427e-837b-5a81984bbb40/20232003-risk-assessment-educational-resource.pdf?ETag=d353c0ea3e90ed671fee9803b4d9ae91</vt:lpwstr>
      </vt:variant>
      <vt:variant>
        <vt:lpwstr/>
      </vt:variant>
      <vt:variant>
        <vt:i4>7667770</vt:i4>
      </vt:variant>
      <vt:variant>
        <vt:i4>312</vt:i4>
      </vt:variant>
      <vt:variant>
        <vt:i4>0</vt:i4>
      </vt:variant>
      <vt:variant>
        <vt:i4>5</vt:i4>
      </vt:variant>
      <vt:variant>
        <vt:lpwstr>https://www.waterquality.gov.au/anz-guidelines/resources/key-concepts/conceptual-models</vt:lpwstr>
      </vt:variant>
      <vt:variant>
        <vt:lpwstr/>
      </vt:variant>
      <vt:variant>
        <vt:i4>1572938</vt:i4>
      </vt:variant>
      <vt:variant>
        <vt:i4>309</vt:i4>
      </vt:variant>
      <vt:variant>
        <vt:i4>0</vt:i4>
      </vt:variant>
      <vt:variant>
        <vt:i4>5</vt:i4>
      </vt:variant>
      <vt:variant>
        <vt:lpwstr>https://www.finance.gov.au/government/comcover/risk-services/management/risk-management-toolkit/element-7-emerging-risks</vt:lpwstr>
      </vt:variant>
      <vt:variant>
        <vt:lpwstr/>
      </vt:variant>
      <vt:variant>
        <vt:i4>7274540</vt:i4>
      </vt:variant>
      <vt:variant>
        <vt:i4>306</vt:i4>
      </vt:variant>
      <vt:variant>
        <vt:i4>0</vt:i4>
      </vt:variant>
      <vt:variant>
        <vt:i4>5</vt:i4>
      </vt:variant>
      <vt:variant>
        <vt:lpwstr>https://www.finance.gov.au/sites/default/files/2019-11/Risk-Management-Process.pdf</vt:lpwstr>
      </vt:variant>
      <vt:variant>
        <vt:lpwstr/>
      </vt:variant>
      <vt:variant>
        <vt:i4>1048604</vt:i4>
      </vt:variant>
      <vt:variant>
        <vt:i4>204</vt:i4>
      </vt:variant>
      <vt:variant>
        <vt:i4>0</vt:i4>
      </vt:variant>
      <vt:variant>
        <vt:i4>5</vt:i4>
      </vt:variant>
      <vt:variant>
        <vt:lpwstr>https://dictionary.cambridge.org/dictionary/english/resource</vt:lpwstr>
      </vt:variant>
      <vt:variant>
        <vt:lpwstr/>
      </vt:variant>
      <vt:variant>
        <vt:i4>1441806</vt:i4>
      </vt:variant>
      <vt:variant>
        <vt:i4>201</vt:i4>
      </vt:variant>
      <vt:variant>
        <vt:i4>0</vt:i4>
      </vt:variant>
      <vt:variant>
        <vt:i4>5</vt:i4>
      </vt:variant>
      <vt:variant>
        <vt:lpwstr>https://dictionary.cambridge.org/dictionary/english/equipment</vt:lpwstr>
      </vt:variant>
      <vt:variant>
        <vt:lpwstr/>
      </vt:variant>
      <vt:variant>
        <vt:i4>1376306</vt:i4>
      </vt:variant>
      <vt:variant>
        <vt:i4>194</vt:i4>
      </vt:variant>
      <vt:variant>
        <vt:i4>0</vt:i4>
      </vt:variant>
      <vt:variant>
        <vt:i4>5</vt:i4>
      </vt:variant>
      <vt:variant>
        <vt:lpwstr/>
      </vt:variant>
      <vt:variant>
        <vt:lpwstr>_Toc220407031</vt:lpwstr>
      </vt:variant>
      <vt:variant>
        <vt:i4>1376306</vt:i4>
      </vt:variant>
      <vt:variant>
        <vt:i4>188</vt:i4>
      </vt:variant>
      <vt:variant>
        <vt:i4>0</vt:i4>
      </vt:variant>
      <vt:variant>
        <vt:i4>5</vt:i4>
      </vt:variant>
      <vt:variant>
        <vt:lpwstr/>
      </vt:variant>
      <vt:variant>
        <vt:lpwstr>_Toc220407030</vt:lpwstr>
      </vt:variant>
      <vt:variant>
        <vt:i4>1310770</vt:i4>
      </vt:variant>
      <vt:variant>
        <vt:i4>182</vt:i4>
      </vt:variant>
      <vt:variant>
        <vt:i4>0</vt:i4>
      </vt:variant>
      <vt:variant>
        <vt:i4>5</vt:i4>
      </vt:variant>
      <vt:variant>
        <vt:lpwstr/>
      </vt:variant>
      <vt:variant>
        <vt:lpwstr>_Toc220407029</vt:lpwstr>
      </vt:variant>
      <vt:variant>
        <vt:i4>1310770</vt:i4>
      </vt:variant>
      <vt:variant>
        <vt:i4>176</vt:i4>
      </vt:variant>
      <vt:variant>
        <vt:i4>0</vt:i4>
      </vt:variant>
      <vt:variant>
        <vt:i4>5</vt:i4>
      </vt:variant>
      <vt:variant>
        <vt:lpwstr/>
      </vt:variant>
      <vt:variant>
        <vt:lpwstr>_Toc220407028</vt:lpwstr>
      </vt:variant>
      <vt:variant>
        <vt:i4>1310770</vt:i4>
      </vt:variant>
      <vt:variant>
        <vt:i4>170</vt:i4>
      </vt:variant>
      <vt:variant>
        <vt:i4>0</vt:i4>
      </vt:variant>
      <vt:variant>
        <vt:i4>5</vt:i4>
      </vt:variant>
      <vt:variant>
        <vt:lpwstr/>
      </vt:variant>
      <vt:variant>
        <vt:lpwstr>_Toc220407027</vt:lpwstr>
      </vt:variant>
      <vt:variant>
        <vt:i4>1310770</vt:i4>
      </vt:variant>
      <vt:variant>
        <vt:i4>164</vt:i4>
      </vt:variant>
      <vt:variant>
        <vt:i4>0</vt:i4>
      </vt:variant>
      <vt:variant>
        <vt:i4>5</vt:i4>
      </vt:variant>
      <vt:variant>
        <vt:lpwstr/>
      </vt:variant>
      <vt:variant>
        <vt:lpwstr>_Toc220407026</vt:lpwstr>
      </vt:variant>
      <vt:variant>
        <vt:i4>1310770</vt:i4>
      </vt:variant>
      <vt:variant>
        <vt:i4>158</vt:i4>
      </vt:variant>
      <vt:variant>
        <vt:i4>0</vt:i4>
      </vt:variant>
      <vt:variant>
        <vt:i4>5</vt:i4>
      </vt:variant>
      <vt:variant>
        <vt:lpwstr/>
      </vt:variant>
      <vt:variant>
        <vt:lpwstr>_Toc220407025</vt:lpwstr>
      </vt:variant>
      <vt:variant>
        <vt:i4>1310770</vt:i4>
      </vt:variant>
      <vt:variant>
        <vt:i4>152</vt:i4>
      </vt:variant>
      <vt:variant>
        <vt:i4>0</vt:i4>
      </vt:variant>
      <vt:variant>
        <vt:i4>5</vt:i4>
      </vt:variant>
      <vt:variant>
        <vt:lpwstr/>
      </vt:variant>
      <vt:variant>
        <vt:lpwstr>_Toc220407024</vt:lpwstr>
      </vt:variant>
      <vt:variant>
        <vt:i4>1310770</vt:i4>
      </vt:variant>
      <vt:variant>
        <vt:i4>146</vt:i4>
      </vt:variant>
      <vt:variant>
        <vt:i4>0</vt:i4>
      </vt:variant>
      <vt:variant>
        <vt:i4>5</vt:i4>
      </vt:variant>
      <vt:variant>
        <vt:lpwstr/>
      </vt:variant>
      <vt:variant>
        <vt:lpwstr>_Toc220407023</vt:lpwstr>
      </vt:variant>
      <vt:variant>
        <vt:i4>1310770</vt:i4>
      </vt:variant>
      <vt:variant>
        <vt:i4>140</vt:i4>
      </vt:variant>
      <vt:variant>
        <vt:i4>0</vt:i4>
      </vt:variant>
      <vt:variant>
        <vt:i4>5</vt:i4>
      </vt:variant>
      <vt:variant>
        <vt:lpwstr/>
      </vt:variant>
      <vt:variant>
        <vt:lpwstr>_Toc220407022</vt:lpwstr>
      </vt:variant>
      <vt:variant>
        <vt:i4>1310770</vt:i4>
      </vt:variant>
      <vt:variant>
        <vt:i4>134</vt:i4>
      </vt:variant>
      <vt:variant>
        <vt:i4>0</vt:i4>
      </vt:variant>
      <vt:variant>
        <vt:i4>5</vt:i4>
      </vt:variant>
      <vt:variant>
        <vt:lpwstr/>
      </vt:variant>
      <vt:variant>
        <vt:lpwstr>_Toc220407021</vt:lpwstr>
      </vt:variant>
      <vt:variant>
        <vt:i4>1310770</vt:i4>
      </vt:variant>
      <vt:variant>
        <vt:i4>128</vt:i4>
      </vt:variant>
      <vt:variant>
        <vt:i4>0</vt:i4>
      </vt:variant>
      <vt:variant>
        <vt:i4>5</vt:i4>
      </vt:variant>
      <vt:variant>
        <vt:lpwstr/>
      </vt:variant>
      <vt:variant>
        <vt:lpwstr>_Toc220407020</vt:lpwstr>
      </vt:variant>
      <vt:variant>
        <vt:i4>1507378</vt:i4>
      </vt:variant>
      <vt:variant>
        <vt:i4>122</vt:i4>
      </vt:variant>
      <vt:variant>
        <vt:i4>0</vt:i4>
      </vt:variant>
      <vt:variant>
        <vt:i4>5</vt:i4>
      </vt:variant>
      <vt:variant>
        <vt:lpwstr/>
      </vt:variant>
      <vt:variant>
        <vt:lpwstr>_Toc220407019</vt:lpwstr>
      </vt:variant>
      <vt:variant>
        <vt:i4>1507378</vt:i4>
      </vt:variant>
      <vt:variant>
        <vt:i4>116</vt:i4>
      </vt:variant>
      <vt:variant>
        <vt:i4>0</vt:i4>
      </vt:variant>
      <vt:variant>
        <vt:i4>5</vt:i4>
      </vt:variant>
      <vt:variant>
        <vt:lpwstr/>
      </vt:variant>
      <vt:variant>
        <vt:lpwstr>_Toc220407018</vt:lpwstr>
      </vt:variant>
      <vt:variant>
        <vt:i4>1507378</vt:i4>
      </vt:variant>
      <vt:variant>
        <vt:i4>110</vt:i4>
      </vt:variant>
      <vt:variant>
        <vt:i4>0</vt:i4>
      </vt:variant>
      <vt:variant>
        <vt:i4>5</vt:i4>
      </vt:variant>
      <vt:variant>
        <vt:lpwstr/>
      </vt:variant>
      <vt:variant>
        <vt:lpwstr>_Toc220407017</vt:lpwstr>
      </vt:variant>
      <vt:variant>
        <vt:i4>1507378</vt:i4>
      </vt:variant>
      <vt:variant>
        <vt:i4>104</vt:i4>
      </vt:variant>
      <vt:variant>
        <vt:i4>0</vt:i4>
      </vt:variant>
      <vt:variant>
        <vt:i4>5</vt:i4>
      </vt:variant>
      <vt:variant>
        <vt:lpwstr/>
      </vt:variant>
      <vt:variant>
        <vt:lpwstr>_Toc220407016</vt:lpwstr>
      </vt:variant>
      <vt:variant>
        <vt:i4>1507378</vt:i4>
      </vt:variant>
      <vt:variant>
        <vt:i4>98</vt:i4>
      </vt:variant>
      <vt:variant>
        <vt:i4>0</vt:i4>
      </vt:variant>
      <vt:variant>
        <vt:i4>5</vt:i4>
      </vt:variant>
      <vt:variant>
        <vt:lpwstr/>
      </vt:variant>
      <vt:variant>
        <vt:lpwstr>_Toc220407015</vt:lpwstr>
      </vt:variant>
      <vt:variant>
        <vt:i4>1507378</vt:i4>
      </vt:variant>
      <vt:variant>
        <vt:i4>92</vt:i4>
      </vt:variant>
      <vt:variant>
        <vt:i4>0</vt:i4>
      </vt:variant>
      <vt:variant>
        <vt:i4>5</vt:i4>
      </vt:variant>
      <vt:variant>
        <vt:lpwstr/>
      </vt:variant>
      <vt:variant>
        <vt:lpwstr>_Toc220407014</vt:lpwstr>
      </vt:variant>
      <vt:variant>
        <vt:i4>1507378</vt:i4>
      </vt:variant>
      <vt:variant>
        <vt:i4>86</vt:i4>
      </vt:variant>
      <vt:variant>
        <vt:i4>0</vt:i4>
      </vt:variant>
      <vt:variant>
        <vt:i4>5</vt:i4>
      </vt:variant>
      <vt:variant>
        <vt:lpwstr/>
      </vt:variant>
      <vt:variant>
        <vt:lpwstr>_Toc220407013</vt:lpwstr>
      </vt:variant>
      <vt:variant>
        <vt:i4>1507378</vt:i4>
      </vt:variant>
      <vt:variant>
        <vt:i4>80</vt:i4>
      </vt:variant>
      <vt:variant>
        <vt:i4>0</vt:i4>
      </vt:variant>
      <vt:variant>
        <vt:i4>5</vt:i4>
      </vt:variant>
      <vt:variant>
        <vt:lpwstr/>
      </vt:variant>
      <vt:variant>
        <vt:lpwstr>_Toc220407012</vt:lpwstr>
      </vt:variant>
      <vt:variant>
        <vt:i4>1507378</vt:i4>
      </vt:variant>
      <vt:variant>
        <vt:i4>74</vt:i4>
      </vt:variant>
      <vt:variant>
        <vt:i4>0</vt:i4>
      </vt:variant>
      <vt:variant>
        <vt:i4>5</vt:i4>
      </vt:variant>
      <vt:variant>
        <vt:lpwstr/>
      </vt:variant>
      <vt:variant>
        <vt:lpwstr>_Toc220407011</vt:lpwstr>
      </vt:variant>
      <vt:variant>
        <vt:i4>1507378</vt:i4>
      </vt:variant>
      <vt:variant>
        <vt:i4>68</vt:i4>
      </vt:variant>
      <vt:variant>
        <vt:i4>0</vt:i4>
      </vt:variant>
      <vt:variant>
        <vt:i4>5</vt:i4>
      </vt:variant>
      <vt:variant>
        <vt:lpwstr/>
      </vt:variant>
      <vt:variant>
        <vt:lpwstr>_Toc220407010</vt:lpwstr>
      </vt:variant>
      <vt:variant>
        <vt:i4>1441842</vt:i4>
      </vt:variant>
      <vt:variant>
        <vt:i4>62</vt:i4>
      </vt:variant>
      <vt:variant>
        <vt:i4>0</vt:i4>
      </vt:variant>
      <vt:variant>
        <vt:i4>5</vt:i4>
      </vt:variant>
      <vt:variant>
        <vt:lpwstr/>
      </vt:variant>
      <vt:variant>
        <vt:lpwstr>_Toc220407009</vt:lpwstr>
      </vt:variant>
      <vt:variant>
        <vt:i4>1441842</vt:i4>
      </vt:variant>
      <vt:variant>
        <vt:i4>56</vt:i4>
      </vt:variant>
      <vt:variant>
        <vt:i4>0</vt:i4>
      </vt:variant>
      <vt:variant>
        <vt:i4>5</vt:i4>
      </vt:variant>
      <vt:variant>
        <vt:lpwstr/>
      </vt:variant>
      <vt:variant>
        <vt:lpwstr>_Toc220407008</vt:lpwstr>
      </vt:variant>
      <vt:variant>
        <vt:i4>1441842</vt:i4>
      </vt:variant>
      <vt:variant>
        <vt:i4>50</vt:i4>
      </vt:variant>
      <vt:variant>
        <vt:i4>0</vt:i4>
      </vt:variant>
      <vt:variant>
        <vt:i4>5</vt:i4>
      </vt:variant>
      <vt:variant>
        <vt:lpwstr/>
      </vt:variant>
      <vt:variant>
        <vt:lpwstr>_Toc220407007</vt:lpwstr>
      </vt:variant>
      <vt:variant>
        <vt:i4>1441842</vt:i4>
      </vt:variant>
      <vt:variant>
        <vt:i4>44</vt:i4>
      </vt:variant>
      <vt:variant>
        <vt:i4>0</vt:i4>
      </vt:variant>
      <vt:variant>
        <vt:i4>5</vt:i4>
      </vt:variant>
      <vt:variant>
        <vt:lpwstr/>
      </vt:variant>
      <vt:variant>
        <vt:lpwstr>_Toc220407006</vt:lpwstr>
      </vt:variant>
      <vt:variant>
        <vt:i4>1441842</vt:i4>
      </vt:variant>
      <vt:variant>
        <vt:i4>38</vt:i4>
      </vt:variant>
      <vt:variant>
        <vt:i4>0</vt:i4>
      </vt:variant>
      <vt:variant>
        <vt:i4>5</vt:i4>
      </vt:variant>
      <vt:variant>
        <vt:lpwstr/>
      </vt:variant>
      <vt:variant>
        <vt:lpwstr>_Toc220407005</vt:lpwstr>
      </vt:variant>
      <vt:variant>
        <vt:i4>1441842</vt:i4>
      </vt:variant>
      <vt:variant>
        <vt:i4>32</vt:i4>
      </vt:variant>
      <vt:variant>
        <vt:i4>0</vt:i4>
      </vt:variant>
      <vt:variant>
        <vt:i4>5</vt:i4>
      </vt:variant>
      <vt:variant>
        <vt:lpwstr/>
      </vt:variant>
      <vt:variant>
        <vt:lpwstr>_Toc220407004</vt:lpwstr>
      </vt:variant>
      <vt:variant>
        <vt:i4>1441842</vt:i4>
      </vt:variant>
      <vt:variant>
        <vt:i4>26</vt:i4>
      </vt:variant>
      <vt:variant>
        <vt:i4>0</vt:i4>
      </vt:variant>
      <vt:variant>
        <vt:i4>5</vt:i4>
      </vt:variant>
      <vt:variant>
        <vt:lpwstr/>
      </vt:variant>
      <vt:variant>
        <vt:lpwstr>_Toc220407003</vt:lpwstr>
      </vt:variant>
      <vt:variant>
        <vt:i4>1441842</vt:i4>
      </vt:variant>
      <vt:variant>
        <vt:i4>20</vt:i4>
      </vt:variant>
      <vt:variant>
        <vt:i4>0</vt:i4>
      </vt:variant>
      <vt:variant>
        <vt:i4>5</vt:i4>
      </vt:variant>
      <vt:variant>
        <vt:lpwstr/>
      </vt:variant>
      <vt:variant>
        <vt:lpwstr>_Toc220407002</vt:lpwstr>
      </vt:variant>
      <vt:variant>
        <vt:i4>1441842</vt:i4>
      </vt:variant>
      <vt:variant>
        <vt:i4>14</vt:i4>
      </vt:variant>
      <vt:variant>
        <vt:i4>0</vt:i4>
      </vt:variant>
      <vt:variant>
        <vt:i4>5</vt:i4>
      </vt:variant>
      <vt:variant>
        <vt:lpwstr/>
      </vt:variant>
      <vt:variant>
        <vt:lpwstr>_Toc220407001</vt:lpwstr>
      </vt:variant>
      <vt:variant>
        <vt:i4>1441842</vt:i4>
      </vt:variant>
      <vt:variant>
        <vt:i4>8</vt:i4>
      </vt:variant>
      <vt:variant>
        <vt:i4>0</vt:i4>
      </vt:variant>
      <vt:variant>
        <vt:i4>5</vt:i4>
      </vt:variant>
      <vt:variant>
        <vt:lpwstr/>
      </vt:variant>
      <vt:variant>
        <vt:lpwstr>_Toc220407000</vt:lpwstr>
      </vt:variant>
      <vt:variant>
        <vt:i4>1966139</vt:i4>
      </vt:variant>
      <vt:variant>
        <vt:i4>2</vt:i4>
      </vt:variant>
      <vt:variant>
        <vt:i4>0</vt:i4>
      </vt:variant>
      <vt:variant>
        <vt:i4>5</vt:i4>
      </vt:variant>
      <vt:variant>
        <vt:lpwstr/>
      </vt:variant>
      <vt:variant>
        <vt:lpwstr>_Toc220406999</vt:lpwstr>
      </vt:variant>
      <vt:variant>
        <vt:i4>3539048</vt:i4>
      </vt:variant>
      <vt:variant>
        <vt:i4>90</vt:i4>
      </vt:variant>
      <vt:variant>
        <vt:i4>0</vt:i4>
      </vt:variant>
      <vt:variant>
        <vt:i4>5</vt:i4>
      </vt:variant>
      <vt:variant>
        <vt:lpwstr>https://www.icmm.com/en-gb/guidance/health-safety/2015/ccm-good-practice-guide</vt:lpwstr>
      </vt:variant>
      <vt:variant>
        <vt:lpwstr/>
      </vt:variant>
      <vt:variant>
        <vt:i4>5636110</vt:i4>
      </vt:variant>
      <vt:variant>
        <vt:i4>87</vt:i4>
      </vt:variant>
      <vt:variant>
        <vt:i4>0</vt:i4>
      </vt:variant>
      <vt:variant>
        <vt:i4>5</vt:i4>
      </vt:variant>
      <vt:variant>
        <vt:lpwstr>https://www.publications.qld.gov.au/ckan-publications-attachments-prod/resources/f7f107ce-52d4-427e-837b-5a81984bbb40/20232003-risk-assessment-educational-resource.pdf?ETag=d353c0ea3e90ed671fee9803b4d9ae91</vt:lpwstr>
      </vt:variant>
      <vt:variant>
        <vt:lpwstr/>
      </vt:variant>
      <vt:variant>
        <vt:i4>1572938</vt:i4>
      </vt:variant>
      <vt:variant>
        <vt:i4>84</vt:i4>
      </vt:variant>
      <vt:variant>
        <vt:i4>0</vt:i4>
      </vt:variant>
      <vt:variant>
        <vt:i4>5</vt:i4>
      </vt:variant>
      <vt:variant>
        <vt:lpwstr>https://www.finance.gov.au/government/comcover/risk-services/management/risk-management-toolkit/element-7-emerging-risks</vt:lpwstr>
      </vt:variant>
      <vt:variant>
        <vt:lpwstr/>
      </vt:variant>
      <vt:variant>
        <vt:i4>7078000</vt:i4>
      </vt:variant>
      <vt:variant>
        <vt:i4>81</vt:i4>
      </vt:variant>
      <vt:variant>
        <vt:i4>0</vt:i4>
      </vt:variant>
      <vt:variant>
        <vt:i4>5</vt:i4>
      </vt:variant>
      <vt:variant>
        <vt:lpwstr>https://ebooks.publish.csiro.au/content/guidelines-open-pit-and-waste-dump-closure</vt:lpwstr>
      </vt:variant>
      <vt:variant>
        <vt:lpwstr/>
      </vt:variant>
      <vt:variant>
        <vt:i4>7078000</vt:i4>
      </vt:variant>
      <vt:variant>
        <vt:i4>78</vt:i4>
      </vt:variant>
      <vt:variant>
        <vt:i4>0</vt:i4>
      </vt:variant>
      <vt:variant>
        <vt:i4>5</vt:i4>
      </vt:variant>
      <vt:variant>
        <vt:lpwstr>https://ebooks.publish.csiro.au/content/guidelines-open-pit-and-waste-dump-closure</vt:lpwstr>
      </vt:variant>
      <vt:variant>
        <vt:lpwstr/>
      </vt:variant>
      <vt:variant>
        <vt:i4>7078000</vt:i4>
      </vt:variant>
      <vt:variant>
        <vt:i4>75</vt:i4>
      </vt:variant>
      <vt:variant>
        <vt:i4>0</vt:i4>
      </vt:variant>
      <vt:variant>
        <vt:i4>5</vt:i4>
      </vt:variant>
      <vt:variant>
        <vt:lpwstr>https://ebooks.publish.csiro.au/content/guidelines-open-pit-and-waste-dump-closure</vt:lpwstr>
      </vt:variant>
      <vt:variant>
        <vt:lpwstr/>
      </vt:variant>
      <vt:variant>
        <vt:i4>5636110</vt:i4>
      </vt:variant>
      <vt:variant>
        <vt:i4>72</vt:i4>
      </vt:variant>
      <vt:variant>
        <vt:i4>0</vt:i4>
      </vt:variant>
      <vt:variant>
        <vt:i4>5</vt:i4>
      </vt:variant>
      <vt:variant>
        <vt:lpwstr>https://www.publications.qld.gov.au/ckan-publications-attachments-prod/resources/f7f107ce-52d4-427e-837b-5a81984bbb40/20232003-risk-assessment-educational-resource.pdf?ETag=d353c0ea3e90ed671fee9803b4d9ae91</vt:lpwstr>
      </vt:variant>
      <vt:variant>
        <vt:lpwstr/>
      </vt:variant>
      <vt:variant>
        <vt:i4>7078000</vt:i4>
      </vt:variant>
      <vt:variant>
        <vt:i4>69</vt:i4>
      </vt:variant>
      <vt:variant>
        <vt:i4>0</vt:i4>
      </vt:variant>
      <vt:variant>
        <vt:i4>5</vt:i4>
      </vt:variant>
      <vt:variant>
        <vt:lpwstr>https://ebooks.publish.csiro.au/content/guidelines-open-pit-and-waste-dump-closure</vt:lpwstr>
      </vt:variant>
      <vt:variant>
        <vt:lpwstr/>
      </vt:variant>
      <vt:variant>
        <vt:i4>720896</vt:i4>
      </vt:variant>
      <vt:variant>
        <vt:i4>66</vt:i4>
      </vt:variant>
      <vt:variant>
        <vt:i4>0</vt:i4>
      </vt:variant>
      <vt:variant>
        <vt:i4>5</vt:i4>
      </vt:variant>
      <vt:variant>
        <vt:lpwstr>https://www.icmm.com/integrated-mine-closure</vt:lpwstr>
      </vt:variant>
      <vt:variant>
        <vt:lpwstr/>
      </vt:variant>
      <vt:variant>
        <vt:i4>3080267</vt:i4>
      </vt:variant>
      <vt:variant>
        <vt:i4>63</vt:i4>
      </vt:variant>
      <vt:variant>
        <vt:i4>0</vt:i4>
      </vt:variant>
      <vt:variant>
        <vt:i4>5</vt:i4>
      </vt:variant>
      <vt:variant>
        <vt:lpwstr>https://environment.desi.qld.gov.au/__data/assets/pdf_file/0036/88857/managing-residual-risks-discussion-paper.pdf</vt:lpwstr>
      </vt:variant>
      <vt:variant>
        <vt:lpwstr/>
      </vt:variant>
      <vt:variant>
        <vt:i4>7667770</vt:i4>
      </vt:variant>
      <vt:variant>
        <vt:i4>60</vt:i4>
      </vt:variant>
      <vt:variant>
        <vt:i4>0</vt:i4>
      </vt:variant>
      <vt:variant>
        <vt:i4>5</vt:i4>
      </vt:variant>
      <vt:variant>
        <vt:lpwstr>https://www.waterquality.gov.au/anz-guidelines/resources/key-concepts/conceptual-models</vt:lpwstr>
      </vt:variant>
      <vt:variant>
        <vt:lpwstr/>
      </vt:variant>
      <vt:variant>
        <vt:i4>6160415</vt:i4>
      </vt:variant>
      <vt:variant>
        <vt:i4>57</vt:i4>
      </vt:variant>
      <vt:variant>
        <vt:i4>0</vt:i4>
      </vt:variant>
      <vt:variant>
        <vt:i4>5</vt:i4>
      </vt:variant>
      <vt:variant>
        <vt:lpwstr>https://www.iesc.gov.au/sites/default/files/2024-02/summary-guide-using-impact-pathway-diagrams-ecohydrological-conceptualisation-environmental-impact-assessment.pdf</vt:lpwstr>
      </vt:variant>
      <vt:variant>
        <vt:lpwstr/>
      </vt:variant>
      <vt:variant>
        <vt:i4>1376322</vt:i4>
      </vt:variant>
      <vt:variant>
        <vt:i4>54</vt:i4>
      </vt:variant>
      <vt:variant>
        <vt:i4>0</vt:i4>
      </vt:variant>
      <vt:variant>
        <vt:i4>5</vt:i4>
      </vt:variant>
      <vt:variant>
        <vt:lpwstr>https://engage.vic.gov.au/download/document/42474</vt:lpwstr>
      </vt:variant>
      <vt:variant>
        <vt:lpwstr/>
      </vt:variant>
      <vt:variant>
        <vt:i4>1376322</vt:i4>
      </vt:variant>
      <vt:variant>
        <vt:i4>51</vt:i4>
      </vt:variant>
      <vt:variant>
        <vt:i4>0</vt:i4>
      </vt:variant>
      <vt:variant>
        <vt:i4>5</vt:i4>
      </vt:variant>
      <vt:variant>
        <vt:lpwstr>https://engage.vic.gov.au/download/document/42474</vt:lpwstr>
      </vt:variant>
      <vt:variant>
        <vt:lpwstr/>
      </vt:variant>
      <vt:variant>
        <vt:i4>720896</vt:i4>
      </vt:variant>
      <vt:variant>
        <vt:i4>48</vt:i4>
      </vt:variant>
      <vt:variant>
        <vt:i4>0</vt:i4>
      </vt:variant>
      <vt:variant>
        <vt:i4>5</vt:i4>
      </vt:variant>
      <vt:variant>
        <vt:lpwstr>https://www.icmm.com/integrated-mine-closure</vt:lpwstr>
      </vt:variant>
      <vt:variant>
        <vt:lpwstr/>
      </vt:variant>
      <vt:variant>
        <vt:i4>6225926</vt:i4>
      </vt:variant>
      <vt:variant>
        <vt:i4>45</vt:i4>
      </vt:variant>
      <vt:variant>
        <vt:i4>0</vt:i4>
      </vt:variant>
      <vt:variant>
        <vt:i4>5</vt:i4>
      </vt:variant>
      <vt:variant>
        <vt:lpwstr>https://resources.vic.gov.au/legislation-and-regulations/guidelines-and-codes-of-practice/work-plan-guidelines-for-mining-licences/Preparation-of-work-plans-and-work-plan-variations-mining-projects.pdf</vt:lpwstr>
      </vt:variant>
      <vt:variant>
        <vt:lpwstr/>
      </vt:variant>
      <vt:variant>
        <vt:i4>720896</vt:i4>
      </vt:variant>
      <vt:variant>
        <vt:i4>42</vt:i4>
      </vt:variant>
      <vt:variant>
        <vt:i4>0</vt:i4>
      </vt:variant>
      <vt:variant>
        <vt:i4>5</vt:i4>
      </vt:variant>
      <vt:variant>
        <vt:lpwstr>https://www.icmm.com/integrated-mine-closure</vt:lpwstr>
      </vt:variant>
      <vt:variant>
        <vt:lpwstr/>
      </vt:variant>
      <vt:variant>
        <vt:i4>7078000</vt:i4>
      </vt:variant>
      <vt:variant>
        <vt:i4>39</vt:i4>
      </vt:variant>
      <vt:variant>
        <vt:i4>0</vt:i4>
      </vt:variant>
      <vt:variant>
        <vt:i4>5</vt:i4>
      </vt:variant>
      <vt:variant>
        <vt:lpwstr>https://ebooks.publish.csiro.au/content/guidelines-open-pit-and-waste-dump-closure</vt:lpwstr>
      </vt:variant>
      <vt:variant>
        <vt:lpwstr/>
      </vt:variant>
      <vt:variant>
        <vt:i4>7274540</vt:i4>
      </vt:variant>
      <vt:variant>
        <vt:i4>36</vt:i4>
      </vt:variant>
      <vt:variant>
        <vt:i4>0</vt:i4>
      </vt:variant>
      <vt:variant>
        <vt:i4>5</vt:i4>
      </vt:variant>
      <vt:variant>
        <vt:lpwstr>https://www.finance.gov.au/sites/default/files/2019-11/Risk-Management-Process.pdf</vt:lpwstr>
      </vt:variant>
      <vt:variant>
        <vt:lpwstr/>
      </vt:variant>
      <vt:variant>
        <vt:i4>6357021</vt:i4>
      </vt:variant>
      <vt:variant>
        <vt:i4>33</vt:i4>
      </vt:variant>
      <vt:variant>
        <vt:i4>0</vt:i4>
      </vt:variant>
      <vt:variant>
        <vt:i4>5</vt:i4>
      </vt:variant>
      <vt:variant>
        <vt:lpwstr>https://www.des.qld.gov.au/policies?a=272936:policy_registry/era-gl-residual-risk-assessment.pdf</vt:lpwstr>
      </vt:variant>
      <vt:variant>
        <vt:lpwstr/>
      </vt:variant>
      <vt:variant>
        <vt:i4>131080</vt:i4>
      </vt:variant>
      <vt:variant>
        <vt:i4>30</vt:i4>
      </vt:variant>
      <vt:variant>
        <vt:i4>0</vt:i4>
      </vt:variant>
      <vt:variant>
        <vt:i4>5</vt:i4>
      </vt:variant>
      <vt:variant>
        <vt:lpwstr>https://www.iisd.org/system/files/2023-09/relinquishment-closed-mines-policy-steps-for-governments-en.pdf</vt:lpwstr>
      </vt:variant>
      <vt:variant>
        <vt:lpwstr/>
      </vt:variant>
      <vt:variant>
        <vt:i4>6357021</vt:i4>
      </vt:variant>
      <vt:variant>
        <vt:i4>27</vt:i4>
      </vt:variant>
      <vt:variant>
        <vt:i4>0</vt:i4>
      </vt:variant>
      <vt:variant>
        <vt:i4>5</vt:i4>
      </vt:variant>
      <vt:variant>
        <vt:lpwstr>https://www.des.qld.gov.au/policies?a=272936:policy_registry/era-gl-residual-risk-assessment.pdf</vt:lpwstr>
      </vt:variant>
      <vt:variant>
        <vt:lpwstr/>
      </vt:variant>
      <vt:variant>
        <vt:i4>6357021</vt:i4>
      </vt:variant>
      <vt:variant>
        <vt:i4>24</vt:i4>
      </vt:variant>
      <vt:variant>
        <vt:i4>0</vt:i4>
      </vt:variant>
      <vt:variant>
        <vt:i4>5</vt:i4>
      </vt:variant>
      <vt:variant>
        <vt:lpwstr>https://www.des.qld.gov.au/policies?a=272936:policy_registry/era-gl-residual-risk-assessment.pdf</vt:lpwstr>
      </vt:variant>
      <vt:variant>
        <vt:lpwstr/>
      </vt:variant>
      <vt:variant>
        <vt:i4>6357021</vt:i4>
      </vt:variant>
      <vt:variant>
        <vt:i4>21</vt:i4>
      </vt:variant>
      <vt:variant>
        <vt:i4>0</vt:i4>
      </vt:variant>
      <vt:variant>
        <vt:i4>5</vt:i4>
      </vt:variant>
      <vt:variant>
        <vt:lpwstr>https://www.des.qld.gov.au/policies?a=272936:policy_registry/era-gl-residual-risk-assessment.pdf</vt:lpwstr>
      </vt:variant>
      <vt:variant>
        <vt:lpwstr/>
      </vt:variant>
      <vt:variant>
        <vt:i4>6357021</vt:i4>
      </vt:variant>
      <vt:variant>
        <vt:i4>18</vt:i4>
      </vt:variant>
      <vt:variant>
        <vt:i4>0</vt:i4>
      </vt:variant>
      <vt:variant>
        <vt:i4>5</vt:i4>
      </vt:variant>
      <vt:variant>
        <vt:lpwstr>https://www.des.qld.gov.au/policies?a=272936:policy_registry/era-gl-residual-risk-assessment.pdf</vt:lpwstr>
      </vt:variant>
      <vt:variant>
        <vt:lpwstr/>
      </vt:variant>
      <vt:variant>
        <vt:i4>131080</vt:i4>
      </vt:variant>
      <vt:variant>
        <vt:i4>15</vt:i4>
      </vt:variant>
      <vt:variant>
        <vt:i4>0</vt:i4>
      </vt:variant>
      <vt:variant>
        <vt:i4>5</vt:i4>
      </vt:variant>
      <vt:variant>
        <vt:lpwstr>https://www.iisd.org/system/files/2023-09/relinquishment-closed-mines-policy-steps-for-governments-en.pdf</vt:lpwstr>
      </vt:variant>
      <vt:variant>
        <vt:lpwstr/>
      </vt:variant>
      <vt:variant>
        <vt:i4>5374029</vt:i4>
      </vt:variant>
      <vt:variant>
        <vt:i4>12</vt:i4>
      </vt:variant>
      <vt:variant>
        <vt:i4>0</vt:i4>
      </vt:variant>
      <vt:variant>
        <vt:i4>5</vt:i4>
      </vt:variant>
      <vt:variant>
        <vt:lpwstr>https://doi.org/10.1111/rec.13785</vt:lpwstr>
      </vt:variant>
      <vt:variant>
        <vt:lpwstr/>
      </vt:variant>
      <vt:variant>
        <vt:i4>131080</vt:i4>
      </vt:variant>
      <vt:variant>
        <vt:i4>9</vt:i4>
      </vt:variant>
      <vt:variant>
        <vt:i4>0</vt:i4>
      </vt:variant>
      <vt:variant>
        <vt:i4>5</vt:i4>
      </vt:variant>
      <vt:variant>
        <vt:lpwstr>https://www.iisd.org/system/files/2023-09/relinquishment-closed-mines-policy-steps-for-governments-en.pdf</vt:lpwstr>
      </vt:variant>
      <vt:variant>
        <vt:lpwstr/>
      </vt:variant>
      <vt:variant>
        <vt:i4>5374029</vt:i4>
      </vt:variant>
      <vt:variant>
        <vt:i4>6</vt:i4>
      </vt:variant>
      <vt:variant>
        <vt:i4>0</vt:i4>
      </vt:variant>
      <vt:variant>
        <vt:i4>5</vt:i4>
      </vt:variant>
      <vt:variant>
        <vt:lpwstr>https://doi.org/10.1111/rec.13785</vt:lpwstr>
      </vt:variant>
      <vt:variant>
        <vt:lpwstr/>
      </vt:variant>
      <vt:variant>
        <vt:i4>131080</vt:i4>
      </vt:variant>
      <vt:variant>
        <vt:i4>3</vt:i4>
      </vt:variant>
      <vt:variant>
        <vt:i4>0</vt:i4>
      </vt:variant>
      <vt:variant>
        <vt:i4>5</vt:i4>
      </vt:variant>
      <vt:variant>
        <vt:lpwstr>https://www.iisd.org/system/files/2023-09/relinquishment-closed-mines-policy-steps-for-governments-en.pdf</vt:lpwstr>
      </vt:variant>
      <vt:variant>
        <vt:lpwstr/>
      </vt:variant>
      <vt:variant>
        <vt:i4>655470</vt:i4>
      </vt:variant>
      <vt:variant>
        <vt:i4>0</vt:i4>
      </vt:variant>
      <vt:variant>
        <vt:i4>0</vt:i4>
      </vt:variant>
      <vt:variant>
        <vt:i4>5</vt:i4>
      </vt:variant>
      <vt:variant>
        <vt:lpwstr>https://earthresources.vic.gov.au/__data/assets/pdf_file/0004/895693/Regulatory-Impact-Statement-Proposed-Mineral-Resources-Sustainable-Development-Mineral-Industries-Amendment-Regulations-2022.pdf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 Mok (DEECA)</dc:creator>
  <cp:keywords/>
  <dc:description/>
  <cp:lastModifiedBy>Ruth J Fitzclarence (DEECA)</cp:lastModifiedBy>
  <cp:revision>4</cp:revision>
  <cp:lastPrinted>2026-01-30T19:02:00Z</cp:lastPrinted>
  <dcterms:created xsi:type="dcterms:W3CDTF">2026-01-30T03:21:00Z</dcterms:created>
  <dcterms:modified xsi:type="dcterms:W3CDTF">2026-01-30T04:28:00Z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6b8e908a,13e561a2,65d3f1fa</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ContentTypeId">
    <vt:lpwstr>0x01010081B07B0CDE7AB4458D304123F3427040</vt:lpwstr>
  </property>
  <property fmtid="{D5CDD505-2E9C-101B-9397-08002B2CF9AE}" pid="6" name="MediaServiceImageTags">
    <vt:lpwstr/>
  </property>
  <property fmtid="{D5CDD505-2E9C-101B-9397-08002B2CF9AE}" pid="7" name="MSIP_Label_4257e2ab-f512-40e2-9c9a-c64247360765_Enabled">
    <vt:lpwstr>true</vt:lpwstr>
  </property>
  <property fmtid="{D5CDD505-2E9C-101B-9397-08002B2CF9AE}" pid="8" name="MSIP_Label_4257e2ab-f512-40e2-9c9a-c64247360765_SetDate">
    <vt:lpwstr>2025-09-10T07:16:37Z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af511cbf-3edb-4843-a70e-4038b5c98531</vt:lpwstr>
  </property>
  <property fmtid="{D5CDD505-2E9C-101B-9397-08002B2CF9AE}" pid="13" name="MSIP_Label_4257e2ab-f512-40e2-9c9a-c64247360765_ContentBits">
    <vt:lpwstr>2</vt:lpwstr>
  </property>
  <property fmtid="{D5CDD505-2E9C-101B-9397-08002B2CF9AE}" pid="14" name="MSIP_Label_4257e2ab-f512-40e2-9c9a-c64247360765_Tag">
    <vt:lpwstr>10, 0, 1, 1</vt:lpwstr>
  </property>
  <property fmtid="{D5CDD505-2E9C-101B-9397-08002B2CF9AE}" pid="15" name="GrammarlyDocumentId">
    <vt:lpwstr>1d21bfe7-b45e-4286-a8ed-3edc5f937b36</vt:lpwstr>
  </property>
</Properties>
</file>